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4F6C6D" w14:textId="77777777" w:rsidR="004C1092" w:rsidRPr="00363736" w:rsidRDefault="004C1092" w:rsidP="00694B36">
      <w:pPr>
        <w:pStyle w:val="Title"/>
        <w:tabs>
          <w:tab w:val="left" w:pos="7938"/>
        </w:tabs>
        <w:spacing w:after="120" w:line="240" w:lineRule="auto"/>
        <w:jc w:val="left"/>
        <w:rPr>
          <w:sz w:val="24"/>
          <w:szCs w:val="24"/>
        </w:rPr>
      </w:pPr>
    </w:p>
    <w:p w14:paraId="39FCDFA5" w14:textId="250346D5" w:rsidR="0064777F" w:rsidRPr="00363736" w:rsidRDefault="0064777F" w:rsidP="008838DB">
      <w:pPr>
        <w:pStyle w:val="Title"/>
        <w:spacing w:after="120" w:line="240" w:lineRule="auto"/>
        <w:rPr>
          <w:sz w:val="24"/>
          <w:szCs w:val="24"/>
        </w:rPr>
      </w:pPr>
      <w:r w:rsidRPr="00363736">
        <w:rPr>
          <w:sz w:val="24"/>
          <w:szCs w:val="24"/>
        </w:rPr>
        <w:t>NOTĂ DE FUNDAMENTARE</w:t>
      </w:r>
    </w:p>
    <w:p w14:paraId="78C75447" w14:textId="76B7EDCC" w:rsidR="00223491" w:rsidRPr="00363736" w:rsidRDefault="00223491" w:rsidP="008838DB">
      <w:pPr>
        <w:pStyle w:val="Title"/>
        <w:spacing w:after="120" w:line="240" w:lineRule="auto"/>
        <w:ind w:firstLine="720"/>
        <w:jc w:val="left"/>
        <w:rPr>
          <w:sz w:val="24"/>
          <w:szCs w:val="24"/>
        </w:rPr>
      </w:pPr>
      <w:r w:rsidRPr="00363736">
        <w:rPr>
          <w:sz w:val="24"/>
          <w:szCs w:val="24"/>
        </w:rPr>
        <w:t>Titlul proiectului de act normativ</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0"/>
      </w:tblGrid>
      <w:tr w:rsidR="00363736" w:rsidRPr="00363736" w14:paraId="117C71DD" w14:textId="77777777" w:rsidTr="00223491">
        <w:tc>
          <w:tcPr>
            <w:tcW w:w="10490" w:type="dxa"/>
          </w:tcPr>
          <w:p w14:paraId="338F09EC" w14:textId="3108EBF3" w:rsidR="00670C79" w:rsidRPr="00363736" w:rsidRDefault="00374A8F" w:rsidP="00363736">
            <w:pPr>
              <w:widowControl w:val="0"/>
              <w:spacing w:after="120"/>
              <w:jc w:val="both"/>
              <w:rPr>
                <w:b/>
                <w:lang w:eastAsia="ro-RO"/>
              </w:rPr>
            </w:pPr>
            <w:r w:rsidRPr="00363736">
              <w:rPr>
                <w:b/>
                <w:lang w:eastAsia="ro-RO"/>
              </w:rPr>
              <w:t>Hotărâre a Guvernului privind aprobarea Contractului de finanțare dintre Guvernul României reprezentat de Ministerul Investițiilor și Proiectelor Europene și Banca Europeană de Investiții privind Fondul de Fonduri pentru digitalizare, acțiune climatică și alte domenii de interes, finanțat din Planul național de redresare și reziliență al României, semnat la București la 31 martie 2022</w:t>
            </w:r>
          </w:p>
        </w:tc>
      </w:tr>
    </w:tbl>
    <w:p w14:paraId="2CE089BE" w14:textId="7BDFBE6D" w:rsidR="00BC6BCA" w:rsidRPr="00363736" w:rsidRDefault="00BC6BCA" w:rsidP="008838DB">
      <w:pPr>
        <w:spacing w:after="120"/>
        <w:rPr>
          <w:b/>
          <w:lang w:eastAsia="ro-RO"/>
        </w:rPr>
      </w:pPr>
    </w:p>
    <w:p w14:paraId="33C1CD30" w14:textId="77777777" w:rsidR="00223491" w:rsidRPr="00363736" w:rsidRDefault="00C5468F" w:rsidP="008838DB">
      <w:pPr>
        <w:spacing w:after="120"/>
        <w:ind w:firstLine="720"/>
        <w:jc w:val="both"/>
        <w:rPr>
          <w:b/>
          <w:lang w:eastAsia="ro-RO"/>
        </w:rPr>
      </w:pPr>
      <w:r w:rsidRPr="00363736">
        <w:rPr>
          <w:b/>
          <w:lang w:eastAsia="ro-RO"/>
        </w:rPr>
        <w:t>Secțiunea</w:t>
      </w:r>
      <w:r w:rsidR="00670C79" w:rsidRPr="00363736">
        <w:rPr>
          <w:b/>
          <w:lang w:eastAsia="ro-RO"/>
        </w:rPr>
        <w:t xml:space="preserve"> a 2-a  </w:t>
      </w:r>
    </w:p>
    <w:p w14:paraId="23181ACA" w14:textId="4A5ED943" w:rsidR="00CB78C4" w:rsidRPr="00363736" w:rsidRDefault="00670C79" w:rsidP="008838DB">
      <w:pPr>
        <w:spacing w:after="120"/>
        <w:ind w:firstLine="720"/>
        <w:jc w:val="both"/>
        <w:rPr>
          <w:b/>
          <w:lang w:eastAsia="ro-RO"/>
        </w:rPr>
      </w:pPr>
      <w:r w:rsidRPr="00363736">
        <w:rPr>
          <w:b/>
          <w:lang w:eastAsia="ro-RO"/>
        </w:rPr>
        <w:t>Motivul emiterii actului normativ</w:t>
      </w:r>
      <w:r w:rsidR="0066428B" w:rsidRPr="00363736">
        <w:rPr>
          <w:b/>
          <w:lang w:eastAsia="ro-RO"/>
        </w:rPr>
        <w:t xml:space="preserve"> </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0"/>
      </w:tblGrid>
      <w:tr w:rsidR="00363736" w:rsidRPr="00363736" w14:paraId="47D7FD1D" w14:textId="77777777" w:rsidTr="00E669C2">
        <w:trPr>
          <w:trHeight w:val="841"/>
        </w:trPr>
        <w:tc>
          <w:tcPr>
            <w:tcW w:w="10490" w:type="dxa"/>
          </w:tcPr>
          <w:p w14:paraId="083EB0F1" w14:textId="77777777" w:rsidR="008441CD" w:rsidRPr="00363736" w:rsidRDefault="00223491" w:rsidP="008838DB">
            <w:pPr>
              <w:autoSpaceDE w:val="0"/>
              <w:autoSpaceDN w:val="0"/>
              <w:adjustRightInd w:val="0"/>
              <w:spacing w:after="120"/>
              <w:jc w:val="both"/>
              <w:rPr>
                <w:lang w:eastAsia="ro-RO"/>
              </w:rPr>
            </w:pPr>
            <w:r w:rsidRPr="00363736">
              <w:rPr>
                <w:b/>
                <w:lang w:eastAsia="ro-RO"/>
              </w:rPr>
              <w:t>2.1 Sursa proiectului de act normativ</w:t>
            </w:r>
            <w:r w:rsidRPr="00363736">
              <w:rPr>
                <w:lang w:eastAsia="ro-RO"/>
              </w:rPr>
              <w:t xml:space="preserve"> </w:t>
            </w:r>
          </w:p>
          <w:p w14:paraId="010482C6" w14:textId="77777777" w:rsidR="00991900" w:rsidRPr="00363736" w:rsidRDefault="00991900" w:rsidP="00991900">
            <w:pPr>
              <w:autoSpaceDE w:val="0"/>
              <w:autoSpaceDN w:val="0"/>
              <w:adjustRightInd w:val="0"/>
              <w:spacing w:after="120"/>
              <w:jc w:val="both"/>
              <w:rPr>
                <w:lang w:eastAsia="ro-RO"/>
              </w:rPr>
            </w:pPr>
            <w:r w:rsidRPr="00363736">
              <w:rPr>
                <w:lang w:eastAsia="ro-RO"/>
              </w:rPr>
              <w:t>Implementarea acestui contract se realizează în baza:</w:t>
            </w:r>
          </w:p>
          <w:p w14:paraId="25198ACC" w14:textId="77777777" w:rsidR="00991900" w:rsidRPr="00363736" w:rsidRDefault="00991900" w:rsidP="00991900">
            <w:pPr>
              <w:autoSpaceDE w:val="0"/>
              <w:autoSpaceDN w:val="0"/>
              <w:adjustRightInd w:val="0"/>
              <w:spacing w:after="120"/>
              <w:jc w:val="both"/>
              <w:rPr>
                <w:lang w:eastAsia="ro-RO"/>
              </w:rPr>
            </w:pPr>
            <w:r w:rsidRPr="00363736">
              <w:rPr>
                <w:lang w:eastAsia="ro-RO"/>
              </w:rPr>
              <w:t>Regulamentului (UE) 2021/241 al Parlamentului European și al Consiliului din 12 februarie 2021 de instituire a Mecanismului de redresare și  reziliență</w:t>
            </w:r>
          </w:p>
          <w:p w14:paraId="5FEE75AC" w14:textId="77777777" w:rsidR="00991900" w:rsidRPr="00363736" w:rsidRDefault="00991900" w:rsidP="00991900">
            <w:pPr>
              <w:autoSpaceDE w:val="0"/>
              <w:autoSpaceDN w:val="0"/>
              <w:adjustRightInd w:val="0"/>
              <w:spacing w:after="120"/>
              <w:jc w:val="both"/>
              <w:rPr>
                <w:lang w:eastAsia="ro-RO"/>
              </w:rPr>
            </w:pPr>
            <w:r w:rsidRPr="00363736">
              <w:rPr>
                <w:lang w:eastAsia="ro-RO"/>
              </w:rPr>
              <w:t>-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5A252A5A" w14:textId="77777777" w:rsidR="00991900" w:rsidRPr="00363736" w:rsidRDefault="00991900" w:rsidP="00991900">
            <w:pPr>
              <w:autoSpaceDE w:val="0"/>
              <w:autoSpaceDN w:val="0"/>
              <w:adjustRightInd w:val="0"/>
              <w:spacing w:after="120"/>
              <w:jc w:val="both"/>
              <w:rPr>
                <w:lang w:eastAsia="ro-RO"/>
              </w:rPr>
            </w:pPr>
            <w:r w:rsidRPr="00363736">
              <w:rPr>
                <w:lang w:eastAsia="ro-RO"/>
              </w:rPr>
              <w:t>- Deciziei de punere în aplicare a Consiliului de aprobare a evaluării planului de redresare și reziliență al României din data de 03 noiembrie 2021 (CID)</w:t>
            </w:r>
          </w:p>
          <w:p w14:paraId="5ED69F34" w14:textId="77777777" w:rsidR="00991900" w:rsidRPr="00363736" w:rsidRDefault="00991900" w:rsidP="00991900">
            <w:pPr>
              <w:autoSpaceDE w:val="0"/>
              <w:autoSpaceDN w:val="0"/>
              <w:adjustRightInd w:val="0"/>
              <w:spacing w:after="120"/>
              <w:jc w:val="both"/>
              <w:rPr>
                <w:lang w:eastAsia="ro-RO"/>
              </w:rPr>
            </w:pPr>
            <w:r w:rsidRPr="00363736">
              <w:rPr>
                <w:lang w:eastAsia="ro-RO"/>
              </w:rPr>
              <w:t>- Regulamentului (UE) 2020/2094 al Consiliului din 14 decembrie 2020 de instituire a unui instrument de redresare al Uniunii Europene pentru a sprijini redresarea în urma crizei provocate de COVID-19;</w:t>
            </w:r>
          </w:p>
          <w:p w14:paraId="6AA665EE" w14:textId="77777777" w:rsidR="00991900" w:rsidRPr="00363736" w:rsidRDefault="00991900" w:rsidP="00991900">
            <w:pPr>
              <w:autoSpaceDE w:val="0"/>
              <w:autoSpaceDN w:val="0"/>
              <w:adjustRightInd w:val="0"/>
              <w:spacing w:after="120"/>
              <w:jc w:val="both"/>
              <w:rPr>
                <w:lang w:eastAsia="ro-RO"/>
              </w:rPr>
            </w:pPr>
            <w:r w:rsidRPr="00363736">
              <w:rPr>
                <w:lang w:eastAsia="ro-RO"/>
              </w:rPr>
              <w:t>- Regulamentului (UE) 2021/240 al Parlamentului European și al Consiliului din 10 februarie 2021 de instituire a unui Instrument de sprijin tehnic;</w:t>
            </w:r>
          </w:p>
          <w:p w14:paraId="0CA145B6" w14:textId="77777777" w:rsidR="00991900" w:rsidRPr="00363736" w:rsidRDefault="00991900" w:rsidP="00991900">
            <w:pPr>
              <w:autoSpaceDE w:val="0"/>
              <w:autoSpaceDN w:val="0"/>
              <w:adjustRightInd w:val="0"/>
              <w:spacing w:after="120"/>
              <w:jc w:val="both"/>
              <w:rPr>
                <w:lang w:eastAsia="ro-RO"/>
              </w:rPr>
            </w:pPr>
            <w:r w:rsidRPr="00363736">
              <w:rPr>
                <w:lang w:eastAsia="ro-RO"/>
              </w:rPr>
              <w:t xml:space="preserve">- Memorandumului nr. 38215/15.04.2021, aprobat în ședința Guvernului din data de 20 ianuarie 2021, cu tema: mandatarea Ministerului Investițiilor și Proiectelor Europene (MIPE) pentru a desfășura procedurile de negociere cu Comisia Europeană, în vederea aprobării PNRR </w:t>
            </w:r>
            <w:proofErr w:type="spellStart"/>
            <w:r w:rsidRPr="00363736">
              <w:rPr>
                <w:lang w:eastAsia="ro-RO"/>
              </w:rPr>
              <w:t>şi</w:t>
            </w:r>
            <w:proofErr w:type="spellEnd"/>
            <w:r w:rsidRPr="00363736">
              <w:rPr>
                <w:lang w:eastAsia="ro-RO"/>
              </w:rPr>
              <w:t xml:space="preserve"> a cererii de împrumut prevăzute la art. 14 din Regulamentul (UE) nr. 2021/241 al Parlamentului European </w:t>
            </w:r>
            <w:proofErr w:type="spellStart"/>
            <w:r w:rsidRPr="00363736">
              <w:rPr>
                <w:lang w:eastAsia="ro-RO"/>
              </w:rPr>
              <w:t>şi</w:t>
            </w:r>
            <w:proofErr w:type="spellEnd"/>
            <w:r w:rsidRPr="00363736">
              <w:rPr>
                <w:lang w:eastAsia="ro-RO"/>
              </w:rPr>
              <w:t xml:space="preserve"> al Consiliului;</w:t>
            </w:r>
          </w:p>
          <w:p w14:paraId="21FC2053" w14:textId="77777777" w:rsidR="00991900" w:rsidRPr="00363736" w:rsidRDefault="00991900" w:rsidP="00991900">
            <w:pPr>
              <w:autoSpaceDE w:val="0"/>
              <w:autoSpaceDN w:val="0"/>
              <w:adjustRightInd w:val="0"/>
              <w:spacing w:after="120"/>
              <w:jc w:val="both"/>
              <w:rPr>
                <w:lang w:eastAsia="ro-RO"/>
              </w:rPr>
            </w:pPr>
            <w:r w:rsidRPr="00363736">
              <w:rPr>
                <w:lang w:eastAsia="ro-RO"/>
              </w:rPr>
              <w:t>- Memorandumului nr. 2655/THG/10.11.2021 cu tema: mandatarea Ministerului Investițiilor și Proiectelor Europene pentru semnarea Acordului privind contribuția financiară în conformitate cu art. 23 din regulamentul (UE) 2021/241 al Parlamentului European și al Consiliului de instituire a Mecanismului de redresare și reziliență, pentru finanțarea Planului național de redresare și reziliență a României;</w:t>
            </w:r>
          </w:p>
          <w:p w14:paraId="6070D562" w14:textId="77777777" w:rsidR="00991900" w:rsidRPr="00363736" w:rsidRDefault="00991900" w:rsidP="00991900">
            <w:pPr>
              <w:autoSpaceDE w:val="0"/>
              <w:autoSpaceDN w:val="0"/>
              <w:adjustRightInd w:val="0"/>
              <w:spacing w:after="120"/>
              <w:jc w:val="both"/>
              <w:rPr>
                <w:lang w:eastAsia="ro-RO"/>
              </w:rPr>
            </w:pPr>
            <w:r w:rsidRPr="00363736">
              <w:rPr>
                <w:lang w:eastAsia="ro-RO"/>
              </w:rPr>
              <w:t>- Memorandumului nr. 728117/10.11.2021 cu tema: aprobarea negocierii și a semnării Acordului de împrumut (Mecanismul de redresare și reziliență) dintre Comisia Europeană și România, în valoare de 14.942.153.000 EUR; și semnarea acestuia de către ministrul finanțelor;</w:t>
            </w:r>
          </w:p>
          <w:p w14:paraId="63B70A82" w14:textId="77777777" w:rsidR="00991900" w:rsidRPr="00363736" w:rsidRDefault="00991900" w:rsidP="00991900">
            <w:pPr>
              <w:autoSpaceDE w:val="0"/>
              <w:autoSpaceDN w:val="0"/>
              <w:adjustRightInd w:val="0"/>
              <w:spacing w:after="120"/>
              <w:jc w:val="both"/>
              <w:rPr>
                <w:lang w:eastAsia="ro-RO"/>
              </w:rPr>
            </w:pPr>
            <w:r w:rsidRPr="00363736">
              <w:rPr>
                <w:lang w:eastAsia="ro-RO"/>
              </w:rPr>
              <w:t>- Memorandumul nr.20/9559/29.03.2022 cu tema: aprobarea negocierii și semnării contractului de finanțare dintre Guvernul României reprezentat de Ministerul Investițiilor și Proiectelor Europene și Banca Europeană de Investiții privind Fondul de Fonduri pentru digitalizare, acțiune climatică și alte domenii de interes, finanțat din Planului național de redresare și reziliență al României;</w:t>
            </w:r>
          </w:p>
          <w:p w14:paraId="001B0B60" w14:textId="77777777" w:rsidR="00991900" w:rsidRPr="00363736" w:rsidRDefault="00991900" w:rsidP="00991900">
            <w:pPr>
              <w:autoSpaceDE w:val="0"/>
              <w:autoSpaceDN w:val="0"/>
              <w:adjustRightInd w:val="0"/>
              <w:spacing w:after="120"/>
              <w:jc w:val="both"/>
              <w:rPr>
                <w:lang w:eastAsia="ro-RO"/>
              </w:rPr>
            </w:pPr>
            <w:r w:rsidRPr="00363736">
              <w:rPr>
                <w:lang w:eastAsia="ro-RO"/>
              </w:rPr>
              <w:t>- Acordului privind contribuția financiară și Acordul de împrumut, încheiate în cadrul Mecanismului de redresare și reziliență pentru finanțarea Planului Național de Redresare și Reziliență (PNRR);</w:t>
            </w:r>
          </w:p>
          <w:p w14:paraId="289015CD" w14:textId="77777777" w:rsidR="00991900" w:rsidRPr="00363736" w:rsidRDefault="00991900" w:rsidP="00991900">
            <w:pPr>
              <w:autoSpaceDE w:val="0"/>
              <w:autoSpaceDN w:val="0"/>
              <w:adjustRightInd w:val="0"/>
              <w:spacing w:after="120"/>
              <w:jc w:val="both"/>
              <w:rPr>
                <w:lang w:eastAsia="ro-RO"/>
              </w:rPr>
            </w:pPr>
            <w:r w:rsidRPr="00363736">
              <w:rPr>
                <w:lang w:eastAsia="ro-RO"/>
              </w:rPr>
              <w:lastRenderedPageBreak/>
              <w:t xml:space="preserve">- </w:t>
            </w:r>
            <w:proofErr w:type="spellStart"/>
            <w:r w:rsidRPr="00363736">
              <w:rPr>
                <w:lang w:eastAsia="ro-RO"/>
              </w:rPr>
              <w:t>Ordonanţei</w:t>
            </w:r>
            <w:proofErr w:type="spellEnd"/>
            <w:r w:rsidRPr="00363736">
              <w:rPr>
                <w:lang w:eastAsia="ro-RO"/>
              </w:rPr>
              <w:t xml:space="preserve"> de Urgență a Guvernului nr. 155/2020 privind unele măsuri pentru elaborarea Planului </w:t>
            </w:r>
            <w:proofErr w:type="spellStart"/>
            <w:r w:rsidRPr="00363736">
              <w:rPr>
                <w:lang w:eastAsia="ro-RO"/>
              </w:rPr>
              <w:t>naţional</w:t>
            </w:r>
            <w:proofErr w:type="spellEnd"/>
            <w:r w:rsidRPr="00363736">
              <w:rPr>
                <w:lang w:eastAsia="ro-RO"/>
              </w:rPr>
              <w:t xml:space="preserve"> de redresare </w:t>
            </w:r>
            <w:proofErr w:type="spellStart"/>
            <w:r w:rsidRPr="00363736">
              <w:rPr>
                <w:lang w:eastAsia="ro-RO"/>
              </w:rPr>
              <w:t>şi</w:t>
            </w:r>
            <w:proofErr w:type="spellEnd"/>
            <w:r w:rsidRPr="00363736">
              <w:rPr>
                <w:lang w:eastAsia="ro-RO"/>
              </w:rPr>
              <w:t xml:space="preserve"> </w:t>
            </w:r>
            <w:proofErr w:type="spellStart"/>
            <w:r w:rsidRPr="00363736">
              <w:rPr>
                <w:lang w:eastAsia="ro-RO"/>
              </w:rPr>
              <w:t>rezilienţă</w:t>
            </w:r>
            <w:proofErr w:type="spellEnd"/>
            <w:r w:rsidRPr="00363736">
              <w:rPr>
                <w:lang w:eastAsia="ro-RO"/>
              </w:rPr>
              <w:t xml:space="preserve"> necesar României pentru accesarea de fonduri externe rambursabile </w:t>
            </w:r>
            <w:proofErr w:type="spellStart"/>
            <w:r w:rsidRPr="00363736">
              <w:rPr>
                <w:lang w:eastAsia="ro-RO"/>
              </w:rPr>
              <w:t>şi</w:t>
            </w:r>
            <w:proofErr w:type="spellEnd"/>
            <w:r w:rsidRPr="00363736">
              <w:rPr>
                <w:lang w:eastAsia="ro-RO"/>
              </w:rPr>
              <w:t xml:space="preserve"> nerambursabile în cadrul Mecanismului de redresare </w:t>
            </w:r>
            <w:proofErr w:type="spellStart"/>
            <w:r w:rsidRPr="00363736">
              <w:rPr>
                <w:lang w:eastAsia="ro-RO"/>
              </w:rPr>
              <w:t>şi</w:t>
            </w:r>
            <w:proofErr w:type="spellEnd"/>
            <w:r w:rsidRPr="00363736">
              <w:rPr>
                <w:lang w:eastAsia="ro-RO"/>
              </w:rPr>
              <w:t xml:space="preserve"> </w:t>
            </w:r>
            <w:proofErr w:type="spellStart"/>
            <w:r w:rsidRPr="00363736">
              <w:rPr>
                <w:lang w:eastAsia="ro-RO"/>
              </w:rPr>
              <w:t>rezilienţă</w:t>
            </w:r>
            <w:proofErr w:type="spellEnd"/>
            <w:r w:rsidRPr="00363736">
              <w:rPr>
                <w:lang w:eastAsia="ro-RO"/>
              </w:rPr>
              <w:t xml:space="preserve"> aprobată prin Legea nr. 230/2021, cu modificările și completările ulterioare;</w:t>
            </w:r>
          </w:p>
          <w:p w14:paraId="3AA12E98" w14:textId="77777777" w:rsidR="00991900" w:rsidRPr="00363736" w:rsidRDefault="00991900" w:rsidP="00991900">
            <w:pPr>
              <w:autoSpaceDE w:val="0"/>
              <w:autoSpaceDN w:val="0"/>
              <w:adjustRightInd w:val="0"/>
              <w:spacing w:after="120"/>
              <w:jc w:val="both"/>
              <w:rPr>
                <w:lang w:eastAsia="ro-RO"/>
              </w:rPr>
            </w:pPr>
            <w:r w:rsidRPr="00363736">
              <w:rPr>
                <w:lang w:eastAsia="ro-RO"/>
              </w:rPr>
              <w:t xml:space="preserve">- </w:t>
            </w:r>
            <w:proofErr w:type="spellStart"/>
            <w:r w:rsidRPr="00363736">
              <w:rPr>
                <w:lang w:eastAsia="ro-RO"/>
              </w:rPr>
              <w:t>Ordonanţei</w:t>
            </w:r>
            <w:proofErr w:type="spellEnd"/>
            <w:r w:rsidRPr="00363736">
              <w:rPr>
                <w:lang w:eastAsia="ro-RO"/>
              </w:rPr>
              <w:t xml:space="preserve"> de Urgență a Guvernului nr.134/2021 pentru aprobarea Acordului de împrumut (Mecanismul de redresare și reziliență) dintre Comisia Europeană și România, semnat la București la 26 noiembrie 2021 și la Bruxelles la 15 decembrie 2021;</w:t>
            </w:r>
          </w:p>
          <w:p w14:paraId="54854C44" w14:textId="77777777" w:rsidR="00991900" w:rsidRPr="00363736" w:rsidRDefault="00991900" w:rsidP="00991900">
            <w:pPr>
              <w:autoSpaceDE w:val="0"/>
              <w:autoSpaceDN w:val="0"/>
              <w:adjustRightInd w:val="0"/>
              <w:spacing w:after="120"/>
              <w:jc w:val="both"/>
              <w:rPr>
                <w:lang w:eastAsia="ro-RO"/>
              </w:rPr>
            </w:pPr>
            <w:r w:rsidRPr="00363736">
              <w:rPr>
                <w:lang w:eastAsia="ro-RO"/>
              </w:rPr>
              <w:t xml:space="preserve">- </w:t>
            </w:r>
            <w:proofErr w:type="spellStart"/>
            <w:r w:rsidRPr="00363736">
              <w:rPr>
                <w:lang w:eastAsia="ro-RO"/>
              </w:rPr>
              <w:t>Ordonanţei</w:t>
            </w:r>
            <w:proofErr w:type="spellEnd"/>
            <w:r w:rsidRPr="00363736">
              <w:rPr>
                <w:lang w:eastAsia="ro-RO"/>
              </w:rPr>
              <w:t xml:space="preserve"> de Urgență a Guvernului nr. 124/2021 privind stabilirea cadrului </w:t>
            </w:r>
            <w:proofErr w:type="spellStart"/>
            <w:r w:rsidRPr="00363736">
              <w:rPr>
                <w:lang w:eastAsia="ro-RO"/>
              </w:rPr>
              <w:t>instituţional</w:t>
            </w:r>
            <w:proofErr w:type="spellEnd"/>
            <w:r w:rsidRPr="00363736">
              <w:rPr>
                <w:lang w:eastAsia="ro-RO"/>
              </w:rPr>
              <w:t xml:space="preserve"> și financiar pentru gestionarea  fondurilor europene alocate României prin Mecanismul de redresare </w:t>
            </w:r>
            <w:proofErr w:type="spellStart"/>
            <w:r w:rsidRPr="00363736">
              <w:rPr>
                <w:lang w:eastAsia="ro-RO"/>
              </w:rPr>
              <w:t>şi</w:t>
            </w:r>
            <w:proofErr w:type="spellEnd"/>
            <w:r w:rsidRPr="00363736">
              <w:rPr>
                <w:lang w:eastAsia="ro-RO"/>
              </w:rPr>
              <w:t xml:space="preserve"> </w:t>
            </w:r>
            <w:proofErr w:type="spellStart"/>
            <w:r w:rsidRPr="00363736">
              <w:rPr>
                <w:lang w:eastAsia="ro-RO"/>
              </w:rPr>
              <w:t>rezilienţă</w:t>
            </w:r>
            <w:proofErr w:type="spellEnd"/>
            <w:r w:rsidRPr="00363736">
              <w:rPr>
                <w:lang w:eastAsia="ro-RO"/>
              </w:rPr>
              <w:t xml:space="preserve"> precum </w:t>
            </w:r>
            <w:proofErr w:type="spellStart"/>
            <w:r w:rsidRPr="00363736">
              <w:rPr>
                <w:lang w:eastAsia="ro-RO"/>
              </w:rPr>
              <w:t>şi</w:t>
            </w:r>
            <w:proofErr w:type="spellEnd"/>
            <w:r w:rsidRPr="00363736">
              <w:rPr>
                <w:lang w:eastAsia="ro-RO"/>
              </w:rPr>
              <w:t xml:space="preserve"> pentru modificarea și completarea Ordonanței de urgență a Guvernului nr. 155/2020 privind unele măsuri pentru elaborarea Planului </w:t>
            </w:r>
            <w:proofErr w:type="spellStart"/>
            <w:r w:rsidRPr="00363736">
              <w:rPr>
                <w:lang w:eastAsia="ro-RO"/>
              </w:rPr>
              <w:t>naţional</w:t>
            </w:r>
            <w:proofErr w:type="spellEnd"/>
            <w:r w:rsidRPr="00363736">
              <w:rPr>
                <w:lang w:eastAsia="ro-RO"/>
              </w:rPr>
              <w:t xml:space="preserve"> de redresare </w:t>
            </w:r>
            <w:proofErr w:type="spellStart"/>
            <w:r w:rsidRPr="00363736">
              <w:rPr>
                <w:lang w:eastAsia="ro-RO"/>
              </w:rPr>
              <w:t>şi</w:t>
            </w:r>
            <w:proofErr w:type="spellEnd"/>
            <w:r w:rsidRPr="00363736">
              <w:rPr>
                <w:lang w:eastAsia="ro-RO"/>
              </w:rPr>
              <w:t xml:space="preserve"> </w:t>
            </w:r>
            <w:proofErr w:type="spellStart"/>
            <w:r w:rsidRPr="00363736">
              <w:rPr>
                <w:lang w:eastAsia="ro-RO"/>
              </w:rPr>
              <w:t>rezilienţă</w:t>
            </w:r>
            <w:proofErr w:type="spellEnd"/>
            <w:r w:rsidRPr="00363736">
              <w:rPr>
                <w:lang w:eastAsia="ro-RO"/>
              </w:rPr>
              <w:t xml:space="preserve"> necesar României pentru accesarea de fonduri externe rambursabile </w:t>
            </w:r>
            <w:proofErr w:type="spellStart"/>
            <w:r w:rsidRPr="00363736">
              <w:rPr>
                <w:lang w:eastAsia="ro-RO"/>
              </w:rPr>
              <w:t>şi</w:t>
            </w:r>
            <w:proofErr w:type="spellEnd"/>
            <w:r w:rsidRPr="00363736">
              <w:rPr>
                <w:lang w:eastAsia="ro-RO"/>
              </w:rPr>
              <w:t xml:space="preserve"> nerambursabile în cadrul Mecanismului de redresare </w:t>
            </w:r>
            <w:proofErr w:type="spellStart"/>
            <w:r w:rsidRPr="00363736">
              <w:rPr>
                <w:lang w:eastAsia="ro-RO"/>
              </w:rPr>
              <w:t>şi</w:t>
            </w:r>
            <w:proofErr w:type="spellEnd"/>
            <w:r w:rsidRPr="00363736">
              <w:rPr>
                <w:lang w:eastAsia="ro-RO"/>
              </w:rPr>
              <w:t xml:space="preserve"> </w:t>
            </w:r>
            <w:proofErr w:type="spellStart"/>
            <w:r w:rsidRPr="00363736">
              <w:rPr>
                <w:lang w:eastAsia="ro-RO"/>
              </w:rPr>
              <w:t>rezilienţă</w:t>
            </w:r>
            <w:proofErr w:type="spellEnd"/>
            <w:r w:rsidRPr="00363736">
              <w:rPr>
                <w:lang w:eastAsia="ro-RO"/>
              </w:rPr>
              <w:t>;</w:t>
            </w:r>
          </w:p>
          <w:p w14:paraId="18CBBEBF" w14:textId="77777777" w:rsidR="00991900" w:rsidRPr="00363736" w:rsidRDefault="00991900" w:rsidP="00991900">
            <w:pPr>
              <w:autoSpaceDE w:val="0"/>
              <w:autoSpaceDN w:val="0"/>
              <w:adjustRightInd w:val="0"/>
              <w:spacing w:after="120"/>
              <w:jc w:val="both"/>
              <w:rPr>
                <w:lang w:eastAsia="ro-RO"/>
              </w:rPr>
            </w:pPr>
            <w:r w:rsidRPr="00363736">
              <w:rPr>
                <w:lang w:eastAsia="ro-RO"/>
              </w:rPr>
              <w:t xml:space="preserve">- Hotărârii Guvernului nr. 209/2022 pentru aprobarea Normelor metodologice de aplicare a prevederilor </w:t>
            </w:r>
            <w:proofErr w:type="spellStart"/>
            <w:r w:rsidRPr="00363736">
              <w:rPr>
                <w:lang w:eastAsia="ro-RO"/>
              </w:rPr>
              <w:t>Ordonanţei</w:t>
            </w:r>
            <w:proofErr w:type="spellEnd"/>
            <w:r w:rsidRPr="00363736">
              <w:rPr>
                <w:lang w:eastAsia="ro-RO"/>
              </w:rPr>
              <w:t xml:space="preserve"> de Urgență a Guvernului nr. 124/2021 privind stabilirea cadrului </w:t>
            </w:r>
            <w:proofErr w:type="spellStart"/>
            <w:r w:rsidRPr="00363736">
              <w:rPr>
                <w:lang w:eastAsia="ro-RO"/>
              </w:rPr>
              <w:t>instituţional</w:t>
            </w:r>
            <w:proofErr w:type="spellEnd"/>
            <w:r w:rsidRPr="00363736">
              <w:rPr>
                <w:lang w:eastAsia="ro-RO"/>
              </w:rPr>
              <w:t xml:space="preserve"> și financiar pentru gestionarea  fondurilor europene alocate României prin Mecanismul de redresare </w:t>
            </w:r>
            <w:proofErr w:type="spellStart"/>
            <w:r w:rsidRPr="00363736">
              <w:rPr>
                <w:lang w:eastAsia="ro-RO"/>
              </w:rPr>
              <w:t>şi</w:t>
            </w:r>
            <w:proofErr w:type="spellEnd"/>
            <w:r w:rsidRPr="00363736">
              <w:rPr>
                <w:lang w:eastAsia="ro-RO"/>
              </w:rPr>
              <w:t xml:space="preserve"> </w:t>
            </w:r>
            <w:proofErr w:type="spellStart"/>
            <w:r w:rsidRPr="00363736">
              <w:rPr>
                <w:lang w:eastAsia="ro-RO"/>
              </w:rPr>
              <w:t>rezilienţă</w:t>
            </w:r>
            <w:proofErr w:type="spellEnd"/>
            <w:r w:rsidRPr="00363736">
              <w:rPr>
                <w:lang w:eastAsia="ro-RO"/>
              </w:rPr>
              <w:t xml:space="preserve"> precum </w:t>
            </w:r>
            <w:proofErr w:type="spellStart"/>
            <w:r w:rsidRPr="00363736">
              <w:rPr>
                <w:lang w:eastAsia="ro-RO"/>
              </w:rPr>
              <w:t>şi</w:t>
            </w:r>
            <w:proofErr w:type="spellEnd"/>
            <w:r w:rsidRPr="00363736">
              <w:rPr>
                <w:lang w:eastAsia="ro-RO"/>
              </w:rPr>
              <w:t xml:space="preserve"> pentru modificarea și completarea Ordonanței de urgență a Guvernului nr. 155/2020 privind unele măsuri pentru elaborarea Planului </w:t>
            </w:r>
            <w:proofErr w:type="spellStart"/>
            <w:r w:rsidRPr="00363736">
              <w:rPr>
                <w:lang w:eastAsia="ro-RO"/>
              </w:rPr>
              <w:t>naţional</w:t>
            </w:r>
            <w:proofErr w:type="spellEnd"/>
            <w:r w:rsidRPr="00363736">
              <w:rPr>
                <w:lang w:eastAsia="ro-RO"/>
              </w:rPr>
              <w:t xml:space="preserve"> de redresare </w:t>
            </w:r>
            <w:proofErr w:type="spellStart"/>
            <w:r w:rsidRPr="00363736">
              <w:rPr>
                <w:lang w:eastAsia="ro-RO"/>
              </w:rPr>
              <w:t>şi</w:t>
            </w:r>
            <w:proofErr w:type="spellEnd"/>
            <w:r w:rsidRPr="00363736">
              <w:rPr>
                <w:lang w:eastAsia="ro-RO"/>
              </w:rPr>
              <w:t xml:space="preserve"> </w:t>
            </w:r>
            <w:proofErr w:type="spellStart"/>
            <w:r w:rsidRPr="00363736">
              <w:rPr>
                <w:lang w:eastAsia="ro-RO"/>
              </w:rPr>
              <w:t>rezilienţă</w:t>
            </w:r>
            <w:proofErr w:type="spellEnd"/>
            <w:r w:rsidRPr="00363736">
              <w:rPr>
                <w:lang w:eastAsia="ro-RO"/>
              </w:rPr>
              <w:t xml:space="preserve"> necesar României pentru accesarea de fonduri externe rambursabile </w:t>
            </w:r>
            <w:proofErr w:type="spellStart"/>
            <w:r w:rsidRPr="00363736">
              <w:rPr>
                <w:lang w:eastAsia="ro-RO"/>
              </w:rPr>
              <w:t>şi</w:t>
            </w:r>
            <w:proofErr w:type="spellEnd"/>
            <w:r w:rsidRPr="00363736">
              <w:rPr>
                <w:lang w:eastAsia="ro-RO"/>
              </w:rPr>
              <w:t xml:space="preserve"> nerambursabile în cadrul Mecanismului de redresare </w:t>
            </w:r>
            <w:proofErr w:type="spellStart"/>
            <w:r w:rsidRPr="00363736">
              <w:rPr>
                <w:lang w:eastAsia="ro-RO"/>
              </w:rPr>
              <w:t>şi</w:t>
            </w:r>
            <w:proofErr w:type="spellEnd"/>
            <w:r w:rsidRPr="00363736">
              <w:rPr>
                <w:lang w:eastAsia="ro-RO"/>
              </w:rPr>
              <w:t xml:space="preserve"> </w:t>
            </w:r>
            <w:proofErr w:type="spellStart"/>
            <w:r w:rsidRPr="00363736">
              <w:rPr>
                <w:lang w:eastAsia="ro-RO"/>
              </w:rPr>
              <w:t>rezilienţă</w:t>
            </w:r>
            <w:proofErr w:type="spellEnd"/>
            <w:r w:rsidRPr="00363736">
              <w:rPr>
                <w:lang w:eastAsia="ro-RO"/>
              </w:rPr>
              <w:t>.</w:t>
            </w:r>
          </w:p>
          <w:p w14:paraId="5B616A65" w14:textId="77777777" w:rsidR="00991900" w:rsidRPr="00363736" w:rsidRDefault="00991900" w:rsidP="00991900">
            <w:pPr>
              <w:autoSpaceDE w:val="0"/>
              <w:autoSpaceDN w:val="0"/>
              <w:adjustRightInd w:val="0"/>
              <w:spacing w:after="120"/>
              <w:jc w:val="both"/>
              <w:rPr>
                <w:lang w:eastAsia="ro-RO"/>
              </w:rPr>
            </w:pPr>
            <w:r w:rsidRPr="00363736">
              <w:rPr>
                <w:lang w:eastAsia="ro-RO"/>
              </w:rPr>
              <w:t>Accesul la finanțare este un aspect-cheie pentru întreprinderile mari. Înainte de pandemie, redresarea investițiilor era lentă, în pofida unei creșteri economice puternice la momentul respectiv și a unor rate scăzute ale dobânzii, care a fost exacerbată de efectele crizei. Același raport a remarcat că utilizarea împrumuturilor bancare are un impact puternic asupra investițiilor întreprinderilor. Accesul la finanțare din partea băncilor locale este legat în mod pozitiv de investiții și are cel mai puternic impact asupra deciziei și capacității întreprinderilor de a investi. Prin urmare, creșterea accesului la finanțare în condiții favorabile este considerată esențială pentru sprijinirea eforturilor de redresare ale marilor întreprinderi.</w:t>
            </w:r>
          </w:p>
          <w:p w14:paraId="433B89B2" w14:textId="77777777" w:rsidR="00991900" w:rsidRPr="00363736" w:rsidRDefault="00991900" w:rsidP="00991900">
            <w:pPr>
              <w:autoSpaceDE w:val="0"/>
              <w:autoSpaceDN w:val="0"/>
              <w:adjustRightInd w:val="0"/>
              <w:spacing w:after="120"/>
              <w:jc w:val="both"/>
              <w:rPr>
                <w:lang w:eastAsia="ro-RO"/>
              </w:rPr>
            </w:pPr>
            <w:r w:rsidRPr="00363736">
              <w:rPr>
                <w:lang w:eastAsia="ro-RO"/>
              </w:rPr>
              <w:t>Sondajul BEI din 2020 privind investițiile, de asemenea, că aproximativ 12 % din firmele românești pot fi considerate ca fiind constrânse din punct de vedere financiar. Cerințele în materie de garanții reale reprezintă cea mai mare problemă. Pentru a aborda aceste probleme, sectorul financiar trebuie să fie dezvoltat în continuare pentru a furniza noi produse financiare</w:t>
            </w:r>
            <w:r w:rsidRPr="00363736">
              <w:t xml:space="preserve"> </w:t>
            </w:r>
            <w:r w:rsidRPr="00363736">
              <w:rPr>
                <w:lang w:eastAsia="ro-RO"/>
              </w:rPr>
              <w:t>care pot facilita accesul la credite pentru a sprijini întreprinderile în creștere și pentru a stimula inovarea, în special în sectoare-cheie, cum ar fi acțiunile climatice și digitalizarea:</w:t>
            </w:r>
          </w:p>
          <w:p w14:paraId="5E1E45CF" w14:textId="77777777" w:rsidR="00991900" w:rsidRPr="00363736" w:rsidRDefault="00991900" w:rsidP="00991900">
            <w:pPr>
              <w:autoSpaceDE w:val="0"/>
              <w:autoSpaceDN w:val="0"/>
              <w:adjustRightInd w:val="0"/>
              <w:spacing w:after="120"/>
              <w:jc w:val="both"/>
              <w:rPr>
                <w:lang w:eastAsia="ro-RO"/>
              </w:rPr>
            </w:pPr>
            <w:r w:rsidRPr="00363736">
              <w:rPr>
                <w:lang w:eastAsia="ro-RO"/>
              </w:rPr>
              <w:t>Politici climatice: Trei sferturi dintre firmele din România (75 %) afirmă că schimbările climatice au acum un impact asupra activității lor, cu mult peste media UE (58 %), în timp ce două treimi dintre firme (66 %) raportează deja investiții sau intenționează să investească în proiecte legate de climă, în concordanță cu media UE (67 %). Totuși, doar 37 % dintre întreprinderi au reușit să investească în măsuri de îmbunătățire a eficienței energetice, cu mult sub media UE (47 %).</w:t>
            </w:r>
          </w:p>
          <w:p w14:paraId="4A68EF5D" w14:textId="77777777" w:rsidR="00991900" w:rsidRPr="00363736" w:rsidRDefault="00991900" w:rsidP="00991900">
            <w:pPr>
              <w:autoSpaceDE w:val="0"/>
              <w:autoSpaceDN w:val="0"/>
              <w:adjustRightInd w:val="0"/>
              <w:spacing w:after="120"/>
              <w:jc w:val="both"/>
              <w:rPr>
                <w:lang w:eastAsia="ro-RO"/>
              </w:rPr>
            </w:pPr>
            <w:r w:rsidRPr="00363736">
              <w:rPr>
                <w:lang w:eastAsia="ro-RO"/>
              </w:rPr>
              <w:t>Digitalizarea: Aproximativ o treime din totalul firmelor românești (32 %) au dezvoltat sau au introdus noi produse, procese sau servicii ca parte a activităților lor de investiții, ceea ce include 11 % din totalul întreprinderilor care susțin că au realizat noi inovații în țară sau în lume. Peste jumătate dintre întreprinderi (56 %) au implementat, integral sau parțial, tehnologiile digitale esențiale pe care le-au solicitat, sub media UE de 63 %.</w:t>
            </w:r>
          </w:p>
          <w:p w14:paraId="36B3A278" w14:textId="77777777" w:rsidR="00991900" w:rsidRPr="00363736" w:rsidRDefault="00991900" w:rsidP="00991900">
            <w:pPr>
              <w:autoSpaceDE w:val="0"/>
              <w:autoSpaceDN w:val="0"/>
              <w:adjustRightInd w:val="0"/>
              <w:spacing w:after="120"/>
              <w:jc w:val="both"/>
              <w:rPr>
                <w:lang w:eastAsia="ro-RO"/>
              </w:rPr>
            </w:pPr>
            <w:r w:rsidRPr="00363736">
              <w:rPr>
                <w:lang w:eastAsia="ro-RO"/>
              </w:rPr>
              <w:t>Deși elaborată ținând seama de nevoile IMM-urilor, analiza Fi-</w:t>
            </w:r>
            <w:proofErr w:type="spellStart"/>
            <w:r w:rsidRPr="00363736">
              <w:rPr>
                <w:lang w:eastAsia="ro-RO"/>
              </w:rPr>
              <w:t>Compass</w:t>
            </w:r>
            <w:proofErr w:type="spellEnd"/>
            <w:r w:rsidRPr="00363736">
              <w:rPr>
                <w:lang w:eastAsia="ro-RO"/>
              </w:rPr>
              <w:t xml:space="preserve"> pentru finanțarea IMM-urilor în România constată, conform sondajului efectuat de Banca Națională a României, că majoritatea societăților care au tendința de a contracta împrumuturi bancare consideră că nivelul costului finanțării (în special împrumuturi în moneda locală — leu) le-ar afecta capacitatea de rambursare a împrumutului. Pentru societățile care au tendința de a contracta credite bancare, 30 % dintre respondenți ar accepta o rată maximă a dobânzii de 2.5-4,5 % pentru împrumuturile în lei care se abat de la datele privind împrumuturile din 2019, unde rata medie a dobânzii a fost de 7,9 %. Așteptările întreprinderilor pentru împrumuturi în euro (19 % </w:t>
            </w:r>
            <w:r w:rsidRPr="00363736">
              <w:rPr>
                <w:lang w:eastAsia="ro-RO"/>
              </w:rPr>
              <w:lastRenderedPageBreak/>
              <w:t>dintre respondenți ar accepta o rată maximă a dobânzii de 1,5 %) sunt oarecum mai apropiate de realitatea pieței, unde rata medie a dobânzii a fost de 3,8 %.</w:t>
            </w:r>
          </w:p>
          <w:p w14:paraId="246CADB6" w14:textId="77777777" w:rsidR="00991900" w:rsidRPr="00363736" w:rsidRDefault="00991900" w:rsidP="00991900">
            <w:pPr>
              <w:autoSpaceDE w:val="0"/>
              <w:autoSpaceDN w:val="0"/>
              <w:adjustRightInd w:val="0"/>
              <w:spacing w:after="120"/>
              <w:jc w:val="both"/>
              <w:rPr>
                <w:lang w:eastAsia="ro-RO"/>
              </w:rPr>
            </w:pPr>
            <w:r w:rsidRPr="00363736">
              <w:rPr>
                <w:lang w:eastAsia="ro-RO"/>
              </w:rPr>
              <w:t>Analiza Fi-</w:t>
            </w:r>
            <w:proofErr w:type="spellStart"/>
            <w:r w:rsidRPr="00363736">
              <w:rPr>
                <w:lang w:eastAsia="ro-RO"/>
              </w:rPr>
              <w:t>Compass</w:t>
            </w:r>
            <w:proofErr w:type="spellEnd"/>
            <w:r w:rsidRPr="00363736">
              <w:rPr>
                <w:lang w:eastAsia="ro-RO"/>
              </w:rPr>
              <w:t xml:space="preserve"> arată, de asemenea, că nivelul intermedierii financiare în România (limitat de modificările legislative și de deficiențele sectorului corporativ) în comparație cu cel european este foarte scăzut (de aproximativ trei ori sub media UE), ceea ce înseamnă că există un potențial de creștere semnificativ. Acest lucru se reflectă și în raportul de țară, care afirmă că „băncile joacă doar un rol limitat în acordarea de credite întreprinderilor, care pot bloca economia”. Prin urmare, sunt necesare eforturi suplimentare pentru a încuraja dezvoltarea pieței de intermediere financiară, iar aceasta este considerată ca fiind un obiectiv important și o altă propunere de investiții duble.</w:t>
            </w:r>
          </w:p>
          <w:p w14:paraId="7850E9F8" w14:textId="77777777" w:rsidR="00991900" w:rsidRPr="00363736" w:rsidRDefault="00991900" w:rsidP="00991900">
            <w:pPr>
              <w:autoSpaceDE w:val="0"/>
              <w:autoSpaceDN w:val="0"/>
              <w:adjustRightInd w:val="0"/>
              <w:spacing w:after="120"/>
              <w:jc w:val="both"/>
              <w:rPr>
                <w:lang w:eastAsia="ro-RO"/>
              </w:rPr>
            </w:pPr>
            <w:r w:rsidRPr="00363736">
              <w:rPr>
                <w:lang w:eastAsia="ro-RO"/>
              </w:rPr>
              <w:t xml:space="preserve">Ca răspuns la aceste probleme, se va crea un fond de fonduri care va fi gestionat de BEI. </w:t>
            </w:r>
          </w:p>
          <w:p w14:paraId="532CBA8A" w14:textId="77777777" w:rsidR="00991900" w:rsidRPr="00363736" w:rsidRDefault="00991900" w:rsidP="00991900">
            <w:pPr>
              <w:autoSpaceDE w:val="0"/>
              <w:autoSpaceDN w:val="0"/>
              <w:adjustRightInd w:val="0"/>
              <w:spacing w:after="120"/>
              <w:jc w:val="both"/>
              <w:rPr>
                <w:lang w:eastAsia="ro-RO"/>
              </w:rPr>
            </w:pPr>
            <w:r w:rsidRPr="00363736">
              <w:rPr>
                <w:lang w:eastAsia="ro-RO"/>
              </w:rPr>
              <w:t>Astfel, ca urmare a aprobării Memorandumului cu tema:</w:t>
            </w:r>
            <w:r w:rsidRPr="00363736">
              <w:t xml:space="preserve"> </w:t>
            </w:r>
            <w:r w:rsidRPr="00363736">
              <w:rPr>
                <w:lang w:eastAsia="ro-RO"/>
              </w:rPr>
              <w:t>aprobarea negocierii și semnării contractului de finanțare dintre Guvernul României reprezentat de Ministerul Investițiilor și Proiectelor Europene și Banca Europeană de Investiții privind Fondul de Fonduri pentru digitalizare, acțiune climatică și alte domenii de interes, finanțat din Planului național de redresare și reziliență al României, iar la data de 31.03.2022 a fost semnat contractul de finanțare dintre Guvernul României reprezentat de Ministerul Investițiilor și Proiectelor Europene și Banca Europeană de Investiții privind Fondul de Fonduri pentru digitalizare, acțiune climatică și alte domenii de interes.</w:t>
            </w:r>
          </w:p>
          <w:p w14:paraId="777690A7" w14:textId="63D6FE25" w:rsidR="00223491" w:rsidRPr="00363736" w:rsidRDefault="00223491" w:rsidP="00374A8F">
            <w:pPr>
              <w:autoSpaceDE w:val="0"/>
              <w:autoSpaceDN w:val="0"/>
              <w:adjustRightInd w:val="0"/>
              <w:spacing w:after="120"/>
              <w:jc w:val="both"/>
              <w:rPr>
                <w:b/>
                <w:lang w:eastAsia="ro-RO"/>
              </w:rPr>
            </w:pPr>
            <w:r w:rsidRPr="00363736">
              <w:rPr>
                <w:b/>
                <w:lang w:eastAsia="ro-RO"/>
              </w:rPr>
              <w:t>2.2 Descrierea situației actuale</w:t>
            </w:r>
          </w:p>
          <w:p w14:paraId="2B2F3262" w14:textId="77777777" w:rsidR="00991900" w:rsidRPr="00363736" w:rsidRDefault="00991900" w:rsidP="00991900">
            <w:pPr>
              <w:autoSpaceDE w:val="0"/>
              <w:autoSpaceDN w:val="0"/>
              <w:adjustRightInd w:val="0"/>
              <w:spacing w:after="120"/>
              <w:jc w:val="both"/>
              <w:rPr>
                <w:lang w:eastAsia="ro-RO"/>
              </w:rPr>
            </w:pPr>
            <w:r w:rsidRPr="00363736">
              <w:rPr>
                <w:lang w:eastAsia="ro-RO"/>
              </w:rPr>
              <w:t xml:space="preserve">Mecanismul de redresare și reziliență, denumit în continuare MRR, a fost instituit prin Regulamentul (UE) 2021/241 al Parlamentului European și al Consiliului din 12 februarie 2021 și are ca obiectiv, în contextul crizei provocate de pandemia COVID-19, furnizarea unui sprijin financiar menit să accelereze implementarea reformelor sustenabile și a investițiilor în statele membre ale UE (SM). </w:t>
            </w:r>
          </w:p>
          <w:p w14:paraId="4CAC91A6" w14:textId="77777777" w:rsidR="00991900" w:rsidRPr="00363736" w:rsidRDefault="00991900" w:rsidP="00991900">
            <w:pPr>
              <w:autoSpaceDE w:val="0"/>
              <w:autoSpaceDN w:val="0"/>
              <w:adjustRightInd w:val="0"/>
              <w:spacing w:after="120"/>
              <w:jc w:val="both"/>
              <w:rPr>
                <w:lang w:eastAsia="ro-RO"/>
              </w:rPr>
            </w:pPr>
            <w:r w:rsidRPr="00363736">
              <w:rPr>
                <w:lang w:eastAsia="ro-RO"/>
              </w:rPr>
              <w:t xml:space="preserve">Acest sprijin financiar se acordă sub formă de finanțări nerambursabile și împrumuturi, pe baza planurilor naționale de redresare și reziliență  transmise Comisiei Europene (COM) de către SM și aprobate prin decizii de punere în aplicare ale Consiliului. </w:t>
            </w:r>
          </w:p>
          <w:p w14:paraId="135C6D8E" w14:textId="77777777" w:rsidR="00991900" w:rsidRPr="00363736" w:rsidRDefault="00991900" w:rsidP="00991900">
            <w:pPr>
              <w:autoSpaceDE w:val="0"/>
              <w:autoSpaceDN w:val="0"/>
              <w:adjustRightInd w:val="0"/>
              <w:spacing w:after="120"/>
              <w:jc w:val="both"/>
              <w:rPr>
                <w:lang w:eastAsia="ro-RO"/>
              </w:rPr>
            </w:pPr>
            <w:r w:rsidRPr="00363736">
              <w:rPr>
                <w:lang w:eastAsia="ro-RO"/>
              </w:rPr>
              <w:t>România a transmis planul național de redresare și reziliență (”PNRR”) în luna mai 2021, documentul fiind evaluat pozitiv de către COM la data de 27 septembrie 2021 și aprobat pe 3 noiembrie 2021.</w:t>
            </w:r>
          </w:p>
          <w:p w14:paraId="5BE38D18" w14:textId="77777777" w:rsidR="00991900" w:rsidRPr="00363736" w:rsidRDefault="00991900" w:rsidP="00991900">
            <w:pPr>
              <w:autoSpaceDE w:val="0"/>
              <w:autoSpaceDN w:val="0"/>
              <w:adjustRightInd w:val="0"/>
              <w:spacing w:after="120"/>
              <w:jc w:val="both"/>
              <w:rPr>
                <w:lang w:eastAsia="ro-RO"/>
              </w:rPr>
            </w:pPr>
            <w:r w:rsidRPr="00363736">
              <w:rPr>
                <w:lang w:eastAsia="ro-RO"/>
              </w:rPr>
              <w:t>Sprijinul UE către SM în cadrul PNRR este condiționat de îndeplinirea unor jaloane (”</w:t>
            </w:r>
            <w:proofErr w:type="spellStart"/>
            <w:r w:rsidRPr="00363736">
              <w:rPr>
                <w:lang w:eastAsia="ro-RO"/>
              </w:rPr>
              <w:t>milestones</w:t>
            </w:r>
            <w:proofErr w:type="spellEnd"/>
            <w:r w:rsidRPr="00363736">
              <w:rPr>
                <w:lang w:eastAsia="ro-RO"/>
              </w:rPr>
              <w:t>”) și ținte (”</w:t>
            </w:r>
            <w:proofErr w:type="spellStart"/>
            <w:r w:rsidRPr="00363736">
              <w:rPr>
                <w:lang w:eastAsia="ro-RO"/>
              </w:rPr>
              <w:t>targets</w:t>
            </w:r>
            <w:proofErr w:type="spellEnd"/>
            <w:r w:rsidRPr="00363736">
              <w:rPr>
                <w:lang w:eastAsia="ro-RO"/>
              </w:rPr>
              <w:t>”) asumate de către SM.</w:t>
            </w:r>
          </w:p>
          <w:p w14:paraId="43A8A783" w14:textId="77777777" w:rsidR="00991900" w:rsidRPr="00363736" w:rsidRDefault="00991900" w:rsidP="00991900">
            <w:pPr>
              <w:autoSpaceDE w:val="0"/>
              <w:autoSpaceDN w:val="0"/>
              <w:adjustRightInd w:val="0"/>
              <w:spacing w:after="120"/>
              <w:jc w:val="both"/>
              <w:rPr>
                <w:lang w:eastAsia="ro-RO"/>
              </w:rPr>
            </w:pPr>
            <w:r w:rsidRPr="00363736">
              <w:rPr>
                <w:lang w:eastAsia="ro-RO"/>
              </w:rPr>
              <w:t>Paragraful 8 din preambulul Regulamentului (UE) nr. 2021/241 prevede că ”investițiile private ar putea fi stimulate prin programe de investiții publice, inclusiv instrumente financiare, subvenții și alte instrumente, cu condiția respectării normelor privind ajutoarele de stat”.</w:t>
            </w:r>
          </w:p>
          <w:p w14:paraId="382F259B" w14:textId="77777777" w:rsidR="00991900" w:rsidRPr="00363736" w:rsidRDefault="00991900" w:rsidP="00991900">
            <w:pPr>
              <w:autoSpaceDE w:val="0"/>
              <w:autoSpaceDN w:val="0"/>
              <w:adjustRightInd w:val="0"/>
              <w:spacing w:after="120"/>
              <w:jc w:val="both"/>
              <w:rPr>
                <w:lang w:eastAsia="ro-RO"/>
              </w:rPr>
            </w:pPr>
            <w:r w:rsidRPr="00363736">
              <w:rPr>
                <w:lang w:eastAsia="ro-RO"/>
              </w:rPr>
              <w:t>PNRR are un buget total de 29,18 miliarde euro, din care 14,24 miliarde euro sub formă de finanțări nerambursabile și 14,94 miliarde euro sub forma de împrumuturi.</w:t>
            </w:r>
          </w:p>
          <w:p w14:paraId="03C27D0F" w14:textId="77777777" w:rsidR="00991900" w:rsidRPr="00363736" w:rsidRDefault="00991900" w:rsidP="00991900">
            <w:pPr>
              <w:autoSpaceDE w:val="0"/>
              <w:autoSpaceDN w:val="0"/>
              <w:adjustRightInd w:val="0"/>
              <w:spacing w:after="120"/>
              <w:jc w:val="both"/>
              <w:rPr>
                <w:lang w:eastAsia="ro-RO"/>
              </w:rPr>
            </w:pPr>
            <w:r w:rsidRPr="00363736">
              <w:rPr>
                <w:lang w:eastAsia="ro-RO"/>
              </w:rPr>
              <w:t xml:space="preserve">Componenta 9 a PNRR, denumită ”Suport pentru sectorul privat, cercetare, dezvoltare și inovare”, include o serie de reforme și investiții menite să consolideze mediul de afaceri din România, între care și ”Investiția 2 – Instrumente financiare pentru sectorul privat”. Aceasta include mai multe subcomponente sub formă de instrumente financiare, în valoare totală de 1,25 mld euro. Astfel, trei subcomponente sunt propuse a fi implementate prin compartimentul pentru România din cadrul programului </w:t>
            </w:r>
            <w:proofErr w:type="spellStart"/>
            <w:r w:rsidRPr="00363736">
              <w:rPr>
                <w:lang w:eastAsia="ro-RO"/>
              </w:rPr>
              <w:t>InvestEU</w:t>
            </w:r>
            <w:proofErr w:type="spellEnd"/>
            <w:r w:rsidRPr="00363736">
              <w:rPr>
                <w:lang w:eastAsia="ro-RO"/>
              </w:rPr>
              <w:t xml:space="preserve"> de către Fondul European de Investiții, denumit în continuare FEI și de către Banca Europeană de Reconstrucție și Dezvoltare, denumită în continuare BERD, respectiv:</w:t>
            </w:r>
          </w:p>
          <w:p w14:paraId="57446271" w14:textId="77777777" w:rsidR="00991900" w:rsidRPr="00363736" w:rsidRDefault="00991900" w:rsidP="00991900">
            <w:pPr>
              <w:autoSpaceDE w:val="0"/>
              <w:autoSpaceDN w:val="0"/>
              <w:adjustRightInd w:val="0"/>
              <w:spacing w:after="120"/>
              <w:jc w:val="both"/>
              <w:rPr>
                <w:lang w:eastAsia="ro-RO"/>
              </w:rPr>
            </w:pPr>
            <w:r w:rsidRPr="00363736">
              <w:rPr>
                <w:lang w:eastAsia="ro-RO"/>
              </w:rPr>
              <w:t>•</w:t>
            </w:r>
            <w:r w:rsidRPr="00363736">
              <w:rPr>
                <w:lang w:eastAsia="ro-RO"/>
              </w:rPr>
              <w:tab/>
              <w:t>Subcomponenta 2.1: Garanția de portofoliu pentru Reziliență, cu o alocare de 300 milioane euro;</w:t>
            </w:r>
          </w:p>
          <w:p w14:paraId="75817984" w14:textId="77777777" w:rsidR="00991900" w:rsidRPr="00363736" w:rsidRDefault="00991900" w:rsidP="00991900">
            <w:pPr>
              <w:autoSpaceDE w:val="0"/>
              <w:autoSpaceDN w:val="0"/>
              <w:adjustRightInd w:val="0"/>
              <w:spacing w:after="120"/>
              <w:jc w:val="both"/>
              <w:rPr>
                <w:lang w:eastAsia="ro-RO"/>
              </w:rPr>
            </w:pPr>
            <w:r w:rsidRPr="00363736">
              <w:rPr>
                <w:lang w:eastAsia="ro-RO"/>
              </w:rPr>
              <w:t>•</w:t>
            </w:r>
            <w:r w:rsidRPr="00363736">
              <w:rPr>
                <w:lang w:eastAsia="ro-RO"/>
              </w:rPr>
              <w:tab/>
              <w:t>Subcomponenta 2.2: Garanția de portofoliu pentru Acțiune climatică, cu o alocare de 200 milioane euro;</w:t>
            </w:r>
          </w:p>
          <w:p w14:paraId="031FAF73" w14:textId="77777777" w:rsidR="00991900" w:rsidRPr="00363736" w:rsidRDefault="00991900" w:rsidP="00991900">
            <w:pPr>
              <w:autoSpaceDE w:val="0"/>
              <w:autoSpaceDN w:val="0"/>
              <w:adjustRightInd w:val="0"/>
              <w:spacing w:after="120"/>
              <w:jc w:val="both"/>
              <w:rPr>
                <w:lang w:eastAsia="ro-RO"/>
              </w:rPr>
            </w:pPr>
            <w:r w:rsidRPr="00363736">
              <w:rPr>
                <w:lang w:eastAsia="ro-RO"/>
              </w:rPr>
              <w:lastRenderedPageBreak/>
              <w:t>•</w:t>
            </w:r>
            <w:r w:rsidRPr="00363736">
              <w:rPr>
                <w:lang w:eastAsia="ro-RO"/>
              </w:rPr>
              <w:tab/>
              <w:t>Subcomponenta 2.5: Instrumentul financiar pentru investiții în eficiență energetică în sectorul rezidențial și al clădirilor, cu o alocare de 50 milioane euro.</w:t>
            </w:r>
          </w:p>
          <w:p w14:paraId="719A70DE" w14:textId="77777777" w:rsidR="00991900" w:rsidRPr="00363736" w:rsidRDefault="00991900" w:rsidP="00991900">
            <w:pPr>
              <w:autoSpaceDE w:val="0"/>
              <w:autoSpaceDN w:val="0"/>
              <w:adjustRightInd w:val="0"/>
              <w:spacing w:after="120"/>
              <w:jc w:val="both"/>
              <w:rPr>
                <w:lang w:eastAsia="ro-RO"/>
              </w:rPr>
            </w:pPr>
            <w:r w:rsidRPr="00363736">
              <w:rPr>
                <w:lang w:eastAsia="ro-RO"/>
              </w:rPr>
              <w:t>De asemenea, două subcomponente sunt propuse a fi implementate prin încredințare directă:</w:t>
            </w:r>
          </w:p>
          <w:p w14:paraId="4CE8E74A" w14:textId="77777777" w:rsidR="00991900" w:rsidRPr="00363736" w:rsidRDefault="00991900" w:rsidP="00991900">
            <w:pPr>
              <w:autoSpaceDE w:val="0"/>
              <w:autoSpaceDN w:val="0"/>
              <w:adjustRightInd w:val="0"/>
              <w:spacing w:after="120"/>
              <w:jc w:val="both"/>
              <w:rPr>
                <w:lang w:eastAsia="ro-RO"/>
              </w:rPr>
            </w:pPr>
            <w:r w:rsidRPr="00363736">
              <w:rPr>
                <w:lang w:eastAsia="ro-RO"/>
              </w:rPr>
              <w:t>•</w:t>
            </w:r>
            <w:r w:rsidRPr="00363736">
              <w:rPr>
                <w:lang w:eastAsia="ro-RO"/>
              </w:rPr>
              <w:tab/>
              <w:t>Subcomponenta 2.3 pentru IMM-uri și întreprinderile cu capitalizare medie (</w:t>
            </w:r>
            <w:proofErr w:type="spellStart"/>
            <w:r w:rsidRPr="00363736">
              <w:rPr>
                <w:lang w:eastAsia="ro-RO"/>
              </w:rPr>
              <w:t>mid-caps</w:t>
            </w:r>
            <w:proofErr w:type="spellEnd"/>
            <w:r w:rsidRPr="00363736">
              <w:rPr>
                <w:lang w:eastAsia="ro-RO"/>
              </w:rPr>
              <w:t>): Fondul de fonduri de capital de risc pentru redresare, cu o alocare de 400 milioane euro, prin semnarea unui contract de finanțare cu FEI;</w:t>
            </w:r>
          </w:p>
          <w:p w14:paraId="1DFDEF5B" w14:textId="77777777" w:rsidR="00991900" w:rsidRPr="00363736" w:rsidRDefault="00991900" w:rsidP="00991900">
            <w:pPr>
              <w:autoSpaceDE w:val="0"/>
              <w:autoSpaceDN w:val="0"/>
              <w:adjustRightInd w:val="0"/>
              <w:spacing w:after="120"/>
              <w:jc w:val="both"/>
              <w:rPr>
                <w:lang w:eastAsia="ro-RO"/>
              </w:rPr>
            </w:pPr>
            <w:r w:rsidRPr="00363736">
              <w:rPr>
                <w:lang w:eastAsia="ro-RO"/>
              </w:rPr>
              <w:t>•</w:t>
            </w:r>
            <w:r w:rsidRPr="00363736">
              <w:rPr>
                <w:lang w:eastAsia="ro-RO"/>
              </w:rPr>
              <w:tab/>
              <w:t>subcomponenta 2.4 Fond de Fonduri pentru digitalizare, acțiune climatică și alte domenii de interes, cu o alocare de 300 milioane euro.</w:t>
            </w:r>
          </w:p>
          <w:p w14:paraId="31D437FF" w14:textId="77777777" w:rsidR="00991900" w:rsidRPr="00363736" w:rsidRDefault="00991900" w:rsidP="00991900">
            <w:pPr>
              <w:autoSpaceDE w:val="0"/>
              <w:autoSpaceDN w:val="0"/>
              <w:adjustRightInd w:val="0"/>
              <w:spacing w:after="120"/>
              <w:jc w:val="both"/>
              <w:rPr>
                <w:lang w:eastAsia="ro-RO"/>
              </w:rPr>
            </w:pPr>
            <w:r w:rsidRPr="00363736">
              <w:rPr>
                <w:lang w:eastAsia="ro-RO"/>
              </w:rPr>
              <w:t>În vederea îndeplinirii jalonului aferent trimestrului I 2022 din cadrul subcomponentei 2.4, în data de 30 martie 2022 a fost aprobat Memorandumul cu tema: Aprobarea negocierii și semnării contractului de finanțare dintre Guvernul României reprezentat de Ministerul Investițiilor și Proiectelor Europene și Banca Europeană de Investiții privind Fondul de Fonduri pentru digitalizare, acțiune climatică și alte domenii de interes, finanțat din Planului național de redresare și reziliență al României.</w:t>
            </w:r>
          </w:p>
          <w:p w14:paraId="4238D1EB" w14:textId="4193FE10" w:rsidR="00223491" w:rsidRPr="00363736" w:rsidRDefault="00223491" w:rsidP="008838DB">
            <w:pPr>
              <w:autoSpaceDE w:val="0"/>
              <w:autoSpaceDN w:val="0"/>
              <w:adjustRightInd w:val="0"/>
              <w:spacing w:after="120"/>
              <w:jc w:val="both"/>
              <w:rPr>
                <w:b/>
                <w:lang w:eastAsia="ro-RO"/>
              </w:rPr>
            </w:pPr>
            <w:r w:rsidRPr="00363736">
              <w:rPr>
                <w:b/>
                <w:lang w:eastAsia="ro-RO"/>
              </w:rPr>
              <w:t>2.3 Schimbări preconizate</w:t>
            </w:r>
          </w:p>
          <w:p w14:paraId="550102A5" w14:textId="6522A0A5" w:rsidR="004101B2" w:rsidRPr="00363736" w:rsidRDefault="00052632" w:rsidP="004101B2">
            <w:pPr>
              <w:autoSpaceDE w:val="0"/>
              <w:autoSpaceDN w:val="0"/>
              <w:adjustRightInd w:val="0"/>
              <w:spacing w:after="120"/>
              <w:jc w:val="both"/>
              <w:rPr>
                <w:lang w:eastAsia="ro-RO"/>
              </w:rPr>
            </w:pPr>
            <w:r w:rsidRPr="00363736">
              <w:rPr>
                <w:lang w:eastAsia="ro-RO"/>
              </w:rPr>
              <w:t>Î</w:t>
            </w:r>
            <w:r w:rsidR="004101B2" w:rsidRPr="00363736">
              <w:rPr>
                <w:lang w:eastAsia="ro-RO"/>
              </w:rPr>
              <w:t xml:space="preserve">n conformitate cu prevederile alin. (4) al art. 25 din Ordonanța de urgență a Guvernului nr. 124/2021 privind stabilirea cadrului </w:t>
            </w:r>
            <w:proofErr w:type="spellStart"/>
            <w:r w:rsidR="004101B2" w:rsidRPr="00363736">
              <w:rPr>
                <w:lang w:eastAsia="ro-RO"/>
              </w:rPr>
              <w:t>instituţional</w:t>
            </w:r>
            <w:proofErr w:type="spellEnd"/>
            <w:r w:rsidR="004101B2" w:rsidRPr="00363736">
              <w:rPr>
                <w:lang w:eastAsia="ro-RO"/>
              </w:rPr>
              <w:t xml:space="preserve"> </w:t>
            </w:r>
            <w:proofErr w:type="spellStart"/>
            <w:r w:rsidR="004101B2" w:rsidRPr="00363736">
              <w:rPr>
                <w:lang w:eastAsia="ro-RO"/>
              </w:rPr>
              <w:t>şi</w:t>
            </w:r>
            <w:proofErr w:type="spellEnd"/>
            <w:r w:rsidR="004101B2" w:rsidRPr="00363736">
              <w:rPr>
                <w:lang w:eastAsia="ro-RO"/>
              </w:rPr>
              <w:t xml:space="preserve"> financiar pentru gestionarea fondurilor europene alocate României prin Mecanismul de redresare </w:t>
            </w:r>
            <w:proofErr w:type="spellStart"/>
            <w:r w:rsidR="004101B2" w:rsidRPr="00363736">
              <w:rPr>
                <w:lang w:eastAsia="ro-RO"/>
              </w:rPr>
              <w:t>şi</w:t>
            </w:r>
            <w:proofErr w:type="spellEnd"/>
            <w:r w:rsidR="004101B2" w:rsidRPr="00363736">
              <w:rPr>
                <w:lang w:eastAsia="ro-RO"/>
              </w:rPr>
              <w:t xml:space="preserve"> </w:t>
            </w:r>
            <w:proofErr w:type="spellStart"/>
            <w:r w:rsidR="004101B2" w:rsidRPr="00363736">
              <w:rPr>
                <w:lang w:eastAsia="ro-RO"/>
              </w:rPr>
              <w:t>rezilienţă</w:t>
            </w:r>
            <w:proofErr w:type="spellEnd"/>
            <w:r w:rsidR="004101B2" w:rsidRPr="00363736">
              <w:rPr>
                <w:lang w:eastAsia="ro-RO"/>
              </w:rPr>
              <w:t xml:space="preserve">, precum </w:t>
            </w:r>
            <w:proofErr w:type="spellStart"/>
            <w:r w:rsidR="004101B2" w:rsidRPr="00363736">
              <w:rPr>
                <w:lang w:eastAsia="ro-RO"/>
              </w:rPr>
              <w:t>şi</w:t>
            </w:r>
            <w:proofErr w:type="spellEnd"/>
            <w:r w:rsidR="004101B2" w:rsidRPr="00363736">
              <w:rPr>
                <w:lang w:eastAsia="ro-RO"/>
              </w:rPr>
              <w:t xml:space="preserve"> pentru modificarea </w:t>
            </w:r>
            <w:proofErr w:type="spellStart"/>
            <w:r w:rsidR="004101B2" w:rsidRPr="00363736">
              <w:rPr>
                <w:lang w:eastAsia="ro-RO"/>
              </w:rPr>
              <w:t>şi</w:t>
            </w:r>
            <w:proofErr w:type="spellEnd"/>
            <w:r w:rsidR="004101B2" w:rsidRPr="00363736">
              <w:rPr>
                <w:lang w:eastAsia="ro-RO"/>
              </w:rPr>
              <w:t xml:space="preserve"> completarea </w:t>
            </w:r>
            <w:proofErr w:type="spellStart"/>
            <w:r w:rsidR="004101B2" w:rsidRPr="00363736">
              <w:rPr>
                <w:lang w:eastAsia="ro-RO"/>
              </w:rPr>
              <w:t>Ordonanţei</w:t>
            </w:r>
            <w:proofErr w:type="spellEnd"/>
            <w:r w:rsidR="004101B2" w:rsidRPr="00363736">
              <w:rPr>
                <w:lang w:eastAsia="ro-RO"/>
              </w:rPr>
              <w:t xml:space="preserve"> de </w:t>
            </w:r>
            <w:proofErr w:type="spellStart"/>
            <w:r w:rsidR="004101B2" w:rsidRPr="00363736">
              <w:rPr>
                <w:lang w:eastAsia="ro-RO"/>
              </w:rPr>
              <w:t>urgenţă</w:t>
            </w:r>
            <w:proofErr w:type="spellEnd"/>
            <w:r w:rsidR="004101B2" w:rsidRPr="00363736">
              <w:rPr>
                <w:lang w:eastAsia="ro-RO"/>
              </w:rPr>
              <w:t xml:space="preserve"> a Guvernului nr. 155/2020 privind unele măsuri pentru elaborarea Planului </w:t>
            </w:r>
            <w:proofErr w:type="spellStart"/>
            <w:r w:rsidR="004101B2" w:rsidRPr="00363736">
              <w:rPr>
                <w:lang w:eastAsia="ro-RO"/>
              </w:rPr>
              <w:t>naţional</w:t>
            </w:r>
            <w:proofErr w:type="spellEnd"/>
            <w:r w:rsidR="004101B2" w:rsidRPr="00363736">
              <w:rPr>
                <w:lang w:eastAsia="ro-RO"/>
              </w:rPr>
              <w:t xml:space="preserve"> de redresare </w:t>
            </w:r>
            <w:proofErr w:type="spellStart"/>
            <w:r w:rsidR="004101B2" w:rsidRPr="00363736">
              <w:rPr>
                <w:lang w:eastAsia="ro-RO"/>
              </w:rPr>
              <w:t>şi</w:t>
            </w:r>
            <w:proofErr w:type="spellEnd"/>
            <w:r w:rsidR="004101B2" w:rsidRPr="00363736">
              <w:rPr>
                <w:lang w:eastAsia="ro-RO"/>
              </w:rPr>
              <w:t xml:space="preserve"> </w:t>
            </w:r>
            <w:proofErr w:type="spellStart"/>
            <w:r w:rsidR="004101B2" w:rsidRPr="00363736">
              <w:rPr>
                <w:lang w:eastAsia="ro-RO"/>
              </w:rPr>
              <w:t>rezilienţă</w:t>
            </w:r>
            <w:proofErr w:type="spellEnd"/>
            <w:r w:rsidR="004101B2" w:rsidRPr="00363736">
              <w:rPr>
                <w:lang w:eastAsia="ro-RO"/>
              </w:rPr>
              <w:t xml:space="preserve"> necesar României pentru accesarea de fonduri externe rambursabile </w:t>
            </w:r>
            <w:proofErr w:type="spellStart"/>
            <w:r w:rsidR="004101B2" w:rsidRPr="00363736">
              <w:rPr>
                <w:lang w:eastAsia="ro-RO"/>
              </w:rPr>
              <w:t>şi</w:t>
            </w:r>
            <w:proofErr w:type="spellEnd"/>
            <w:r w:rsidR="004101B2" w:rsidRPr="00363736">
              <w:rPr>
                <w:lang w:eastAsia="ro-RO"/>
              </w:rPr>
              <w:t xml:space="preserve"> nerambursabile în cadrul Mecanismului de redresare </w:t>
            </w:r>
            <w:proofErr w:type="spellStart"/>
            <w:r w:rsidR="004101B2" w:rsidRPr="00363736">
              <w:rPr>
                <w:lang w:eastAsia="ro-RO"/>
              </w:rPr>
              <w:t>şi</w:t>
            </w:r>
            <w:proofErr w:type="spellEnd"/>
            <w:r w:rsidR="004101B2" w:rsidRPr="00363736">
              <w:rPr>
                <w:lang w:eastAsia="ro-RO"/>
              </w:rPr>
              <w:t xml:space="preserve"> </w:t>
            </w:r>
            <w:proofErr w:type="spellStart"/>
            <w:r w:rsidR="004101B2" w:rsidRPr="00363736">
              <w:rPr>
                <w:lang w:eastAsia="ro-RO"/>
              </w:rPr>
              <w:t>rezilienţă</w:t>
            </w:r>
            <w:proofErr w:type="spellEnd"/>
            <w:r w:rsidR="004101B2" w:rsidRPr="00363736">
              <w:rPr>
                <w:lang w:eastAsia="ro-RO"/>
              </w:rPr>
              <w:t>:</w:t>
            </w:r>
          </w:p>
          <w:p w14:paraId="22CF5AF8" w14:textId="77777777" w:rsidR="004101B2" w:rsidRPr="00363736" w:rsidRDefault="004101B2" w:rsidP="004101B2">
            <w:pPr>
              <w:autoSpaceDE w:val="0"/>
              <w:autoSpaceDN w:val="0"/>
              <w:adjustRightInd w:val="0"/>
              <w:spacing w:after="120"/>
              <w:jc w:val="both"/>
              <w:rPr>
                <w:lang w:eastAsia="ro-RO"/>
              </w:rPr>
            </w:pPr>
            <w:r w:rsidRPr="00363736">
              <w:rPr>
                <w:lang w:eastAsia="ro-RO"/>
              </w:rPr>
              <w:t xml:space="preserve">”MIPE negociază </w:t>
            </w:r>
            <w:proofErr w:type="spellStart"/>
            <w:r w:rsidRPr="00363736">
              <w:rPr>
                <w:lang w:eastAsia="ro-RO"/>
              </w:rPr>
              <w:t>şi</w:t>
            </w:r>
            <w:proofErr w:type="spellEnd"/>
            <w:r w:rsidRPr="00363736">
              <w:rPr>
                <w:lang w:eastAsia="ro-RO"/>
              </w:rPr>
              <w:t xml:space="preserve"> semnează contractele de </w:t>
            </w:r>
            <w:proofErr w:type="spellStart"/>
            <w:r w:rsidRPr="00363736">
              <w:rPr>
                <w:lang w:eastAsia="ro-RO"/>
              </w:rPr>
              <w:t>finanţare</w:t>
            </w:r>
            <w:proofErr w:type="spellEnd"/>
            <w:r w:rsidRPr="00363736">
              <w:rPr>
                <w:lang w:eastAsia="ro-RO"/>
              </w:rPr>
              <w:t xml:space="preserve"> pentru instrumentele financiare din cadrul PNRR implementate prin </w:t>
            </w:r>
            <w:proofErr w:type="spellStart"/>
            <w:r w:rsidRPr="00363736">
              <w:rPr>
                <w:lang w:eastAsia="ro-RO"/>
              </w:rPr>
              <w:t>încredinţarea</w:t>
            </w:r>
            <w:proofErr w:type="spellEnd"/>
            <w:r w:rsidRPr="00363736">
              <w:rPr>
                <w:lang w:eastAsia="ro-RO"/>
              </w:rPr>
              <w:t xml:space="preserve"> sarcinilor de implementare către un partener de implementare. Contractele de </w:t>
            </w:r>
            <w:proofErr w:type="spellStart"/>
            <w:r w:rsidRPr="00363736">
              <w:rPr>
                <w:lang w:eastAsia="ro-RO"/>
              </w:rPr>
              <w:t>finanţare</w:t>
            </w:r>
            <w:proofErr w:type="spellEnd"/>
            <w:r w:rsidRPr="00363736">
              <w:rPr>
                <w:lang w:eastAsia="ro-RO"/>
              </w:rPr>
              <w:t xml:space="preserve"> se aprobă prin hotărâre a Guvernului.”</w:t>
            </w:r>
          </w:p>
          <w:p w14:paraId="07E1AC92" w14:textId="77777777" w:rsidR="004101B2" w:rsidRPr="00363736" w:rsidRDefault="004101B2" w:rsidP="004101B2">
            <w:pPr>
              <w:autoSpaceDE w:val="0"/>
              <w:autoSpaceDN w:val="0"/>
              <w:adjustRightInd w:val="0"/>
              <w:spacing w:after="120"/>
              <w:jc w:val="both"/>
              <w:rPr>
                <w:lang w:eastAsia="ro-RO"/>
              </w:rPr>
            </w:pPr>
            <w:r w:rsidRPr="00363736">
              <w:rPr>
                <w:lang w:eastAsia="ro-RO"/>
              </w:rPr>
              <w:t>Contractul de finanțare cu Banca Europeană de Investiții a fost semnat la București la 31 martie 2022 și este supus aprobării prin prezenta hotărâre.</w:t>
            </w:r>
          </w:p>
          <w:p w14:paraId="77A613A9" w14:textId="77777777" w:rsidR="004101B2" w:rsidRPr="00363736" w:rsidRDefault="004101B2" w:rsidP="004101B2">
            <w:pPr>
              <w:autoSpaceDE w:val="0"/>
              <w:autoSpaceDN w:val="0"/>
              <w:adjustRightInd w:val="0"/>
              <w:spacing w:after="120"/>
              <w:jc w:val="both"/>
              <w:rPr>
                <w:lang w:eastAsia="ro-RO"/>
              </w:rPr>
            </w:pPr>
            <w:r w:rsidRPr="00363736">
              <w:rPr>
                <w:lang w:eastAsia="ro-RO"/>
              </w:rPr>
              <w:t>Instrumentul de garantare va fi implementat printr-un contract de finanțare încheiat între Guvernul României și BEI, utilizând modelul fondului de fonduri (FdF) administrat de BEI ca entitate desemnată. Fondul de fonduri va fi o structură-umbrelă gestionată de BEI ca bloc de finanțare separat în cadrul său (nu se creează o entitate juridică separată).</w:t>
            </w:r>
          </w:p>
          <w:p w14:paraId="394D2432" w14:textId="77777777" w:rsidR="004101B2" w:rsidRPr="00363736" w:rsidRDefault="004101B2" w:rsidP="004101B2">
            <w:pPr>
              <w:autoSpaceDE w:val="0"/>
              <w:autoSpaceDN w:val="0"/>
              <w:adjustRightInd w:val="0"/>
              <w:spacing w:after="120"/>
              <w:jc w:val="both"/>
              <w:rPr>
                <w:lang w:eastAsia="ro-RO"/>
              </w:rPr>
            </w:pPr>
            <w:r w:rsidRPr="00363736">
              <w:rPr>
                <w:lang w:eastAsia="ro-RO"/>
              </w:rPr>
              <w:t>În acest context, BEI va gestiona FdF prin două sub-fonduri, cu alocări inițiale de câte 150 mil  euro, utilizate după cum urmează:</w:t>
            </w:r>
          </w:p>
          <w:p w14:paraId="5F7257EC" w14:textId="77777777" w:rsidR="004101B2" w:rsidRPr="00363736" w:rsidRDefault="004101B2" w:rsidP="004101B2">
            <w:pPr>
              <w:autoSpaceDE w:val="0"/>
              <w:autoSpaceDN w:val="0"/>
              <w:adjustRightInd w:val="0"/>
              <w:spacing w:after="120"/>
              <w:jc w:val="both"/>
              <w:rPr>
                <w:lang w:eastAsia="ro-RO"/>
              </w:rPr>
            </w:pPr>
            <w:r w:rsidRPr="00363736">
              <w:rPr>
                <w:lang w:eastAsia="ro-RO"/>
              </w:rPr>
              <w:t>-</w:t>
            </w:r>
            <w:r w:rsidRPr="00363736">
              <w:rPr>
                <w:lang w:eastAsia="ro-RO"/>
              </w:rPr>
              <w:tab/>
              <w:t xml:space="preserve"> prin finanțare directă BEI: un produs de împrumut acordat de către BEI, folosind o parte din fondurile puse la dispoziție în temeiul contractului de finanțare ca garanție pentru finanțarea din partea BEI, și/sau un produs prin care o parte din fondurile puse la dispoziție în temeiul contractului de finanțare sunt acordate sub formă de împrumut, în completarea împrumutului din partea BEI, către Beneficiarii finali;</w:t>
            </w:r>
          </w:p>
          <w:p w14:paraId="40A3D6B2" w14:textId="77777777" w:rsidR="004101B2" w:rsidRPr="00363736" w:rsidRDefault="004101B2" w:rsidP="004101B2">
            <w:pPr>
              <w:autoSpaceDE w:val="0"/>
              <w:autoSpaceDN w:val="0"/>
              <w:adjustRightInd w:val="0"/>
              <w:spacing w:after="120"/>
              <w:jc w:val="both"/>
              <w:rPr>
                <w:lang w:eastAsia="ro-RO"/>
              </w:rPr>
            </w:pPr>
            <w:r w:rsidRPr="00363736">
              <w:rPr>
                <w:lang w:eastAsia="ro-RO"/>
              </w:rPr>
              <w:t>-</w:t>
            </w:r>
            <w:r w:rsidRPr="00363736">
              <w:rPr>
                <w:lang w:eastAsia="ro-RO"/>
              </w:rPr>
              <w:tab/>
              <w:t xml:space="preserve"> prin finanțare intermediată: un produs de garantare intermediat  prin care o parte din fondurile puse la dispoziție în temeiul contractului de finanțare vor fi furnizate de BEI, sub forma unei garanții de portofoliu plafonate, intermediarilor financiari selectați de către aceasta cu care BEI va încheia acorduri operaționale. </w:t>
            </w:r>
          </w:p>
          <w:p w14:paraId="68703BF6" w14:textId="77777777" w:rsidR="004101B2" w:rsidRPr="00363736" w:rsidRDefault="004101B2" w:rsidP="004101B2">
            <w:pPr>
              <w:autoSpaceDE w:val="0"/>
              <w:autoSpaceDN w:val="0"/>
              <w:adjustRightInd w:val="0"/>
              <w:spacing w:after="120"/>
              <w:jc w:val="both"/>
              <w:rPr>
                <w:lang w:eastAsia="ro-RO"/>
              </w:rPr>
            </w:pPr>
            <w:r w:rsidRPr="00363736">
              <w:rPr>
                <w:lang w:eastAsia="ro-RO"/>
              </w:rPr>
              <w:t xml:space="preserve">Propunerea de încredințare a sarcinilor de implementare, prin atribuire directă pentru acest instrument de către Banca Europeană de Investiții este inclusă în PNRR. </w:t>
            </w:r>
          </w:p>
          <w:p w14:paraId="34B92947" w14:textId="77777777" w:rsidR="004101B2" w:rsidRPr="00363736" w:rsidRDefault="004101B2" w:rsidP="004101B2">
            <w:pPr>
              <w:autoSpaceDE w:val="0"/>
              <w:autoSpaceDN w:val="0"/>
              <w:adjustRightInd w:val="0"/>
              <w:spacing w:after="120"/>
              <w:jc w:val="both"/>
              <w:rPr>
                <w:lang w:eastAsia="ro-RO"/>
              </w:rPr>
            </w:pPr>
            <w:r w:rsidRPr="00363736">
              <w:rPr>
                <w:lang w:eastAsia="ro-RO"/>
              </w:rPr>
              <w:t xml:space="preserve">Având în vedere că se estimează că în cadrul instrumentelor vor fi acordate peste 25 de finanțări pentru întreprinderi mari (cu peste 500 de angajați și/sau o cifră de afaceri anuală de peste 50 de mil euro și un bilanț anual total de peste 43 mil euro), entități publice (municipalități) și vehicule cu scop special (SPV), fluxul de numerar de la FdF către aceștia are un caracter impredictibil și, în acest sens, Guvernul României (prin MIPE) ar putea fi în situația de a face plăți către FdF indiferent de fluxurile financiare dintre România </w:t>
            </w:r>
            <w:r w:rsidRPr="00363736">
              <w:rPr>
                <w:lang w:eastAsia="ro-RO"/>
              </w:rPr>
              <w:lastRenderedPageBreak/>
              <w:t xml:space="preserve">și  Comisia Europeană în baza PNRR. Bugetul de stat, prin bugetul MIPE, va asigura sumele necesare implementării FdF și acoperirii costurilor suplimentare prevăzute în contractul de finanțare, în conformitate cu legislația în vigoare. </w:t>
            </w:r>
          </w:p>
          <w:p w14:paraId="3E716BA0" w14:textId="77777777" w:rsidR="004101B2" w:rsidRPr="00363736" w:rsidRDefault="004101B2" w:rsidP="004101B2">
            <w:pPr>
              <w:autoSpaceDE w:val="0"/>
              <w:autoSpaceDN w:val="0"/>
              <w:adjustRightInd w:val="0"/>
              <w:spacing w:after="120"/>
              <w:jc w:val="both"/>
              <w:rPr>
                <w:lang w:eastAsia="ro-RO"/>
              </w:rPr>
            </w:pPr>
            <w:r w:rsidRPr="00363736">
              <w:rPr>
                <w:lang w:eastAsia="ro-RO"/>
              </w:rPr>
              <w:t>Nivelul comisioanelor de management pentru BEI va fi negociat de așa manieră încât să fie plafonat la 6% din total sumă alocată, pentru întreaga perioadă de eligibilitate. Acestea vor fi plătite din suma alocată FdF.</w:t>
            </w:r>
          </w:p>
          <w:p w14:paraId="203AA302" w14:textId="77777777" w:rsidR="004101B2" w:rsidRPr="00363736" w:rsidRDefault="004101B2" w:rsidP="004101B2">
            <w:pPr>
              <w:autoSpaceDE w:val="0"/>
              <w:autoSpaceDN w:val="0"/>
              <w:adjustRightInd w:val="0"/>
              <w:spacing w:after="120"/>
              <w:jc w:val="both"/>
              <w:rPr>
                <w:lang w:eastAsia="ro-RO"/>
              </w:rPr>
            </w:pPr>
            <w:r w:rsidRPr="00363736">
              <w:rPr>
                <w:lang w:eastAsia="ro-RO"/>
              </w:rPr>
              <w:t xml:space="preserve">Suma minimă alocată domeniilor de intervenție legate de climă, în conformitate cu anexa VI la Regulamentul privind Mecanismul de redresare și reziliență, este de 100 mil euro. </w:t>
            </w:r>
          </w:p>
          <w:p w14:paraId="048C3AF4" w14:textId="77777777" w:rsidR="004101B2" w:rsidRPr="00363736" w:rsidRDefault="004101B2" w:rsidP="004101B2">
            <w:pPr>
              <w:autoSpaceDE w:val="0"/>
              <w:autoSpaceDN w:val="0"/>
              <w:adjustRightInd w:val="0"/>
              <w:spacing w:after="120"/>
              <w:jc w:val="both"/>
              <w:rPr>
                <w:lang w:eastAsia="ro-RO"/>
              </w:rPr>
            </w:pPr>
            <w:r w:rsidRPr="00363736">
              <w:rPr>
                <w:lang w:eastAsia="ro-RO"/>
              </w:rPr>
              <w:t xml:space="preserve">Suma alocată domeniilor de intervenție legate de digitalizare, în conformitate cu anexa VII la Regulamentul privind Mecanismul de redresare și reziliență, este de 50 mil euro. </w:t>
            </w:r>
          </w:p>
          <w:p w14:paraId="12BE5119" w14:textId="77777777" w:rsidR="004101B2" w:rsidRPr="00363736" w:rsidRDefault="004101B2" w:rsidP="004101B2">
            <w:pPr>
              <w:autoSpaceDE w:val="0"/>
              <w:autoSpaceDN w:val="0"/>
              <w:adjustRightInd w:val="0"/>
              <w:spacing w:after="120"/>
              <w:jc w:val="both"/>
              <w:rPr>
                <w:lang w:eastAsia="ro-RO"/>
              </w:rPr>
            </w:pPr>
            <w:r w:rsidRPr="00363736">
              <w:rPr>
                <w:lang w:eastAsia="ro-RO"/>
              </w:rPr>
              <w:t>FdF poate include, de asemenea, cheltuieli suplimentare legate de climă și digitalizare.</w:t>
            </w:r>
          </w:p>
          <w:p w14:paraId="2A39F73D" w14:textId="77777777" w:rsidR="004101B2" w:rsidRPr="00363736" w:rsidRDefault="004101B2" w:rsidP="004101B2">
            <w:pPr>
              <w:autoSpaceDE w:val="0"/>
              <w:autoSpaceDN w:val="0"/>
              <w:adjustRightInd w:val="0"/>
              <w:spacing w:after="120"/>
              <w:jc w:val="both"/>
              <w:rPr>
                <w:lang w:eastAsia="ro-RO"/>
              </w:rPr>
            </w:pPr>
            <w:r w:rsidRPr="00363736">
              <w:rPr>
                <w:lang w:eastAsia="ro-RO"/>
              </w:rPr>
              <w:t>Orice venituri ale FdF, inclusiv din rambursări, din care se scad comisioanele de management, se vor utiliza pentru aceleași obiective de politici, inclusiv după 2026.</w:t>
            </w:r>
          </w:p>
          <w:p w14:paraId="0CCE99C2" w14:textId="77777777" w:rsidR="004101B2" w:rsidRPr="00363736" w:rsidRDefault="004101B2" w:rsidP="004101B2">
            <w:pPr>
              <w:autoSpaceDE w:val="0"/>
              <w:autoSpaceDN w:val="0"/>
              <w:adjustRightInd w:val="0"/>
              <w:spacing w:after="120"/>
              <w:jc w:val="both"/>
              <w:rPr>
                <w:lang w:eastAsia="ro-RO"/>
              </w:rPr>
            </w:pPr>
            <w:r w:rsidRPr="00363736">
              <w:rPr>
                <w:lang w:eastAsia="ro-RO"/>
              </w:rPr>
              <w:t>În conformitate cu Ordonanța de urgență a Guvernului nr. 124/2021, pentru implementarea instrumentelor financiare, MIPE poate deschide conturi în valută la Banca Națională a României sau va utiliza conturile în euro deschise la băncile comerciale, după caz.</w:t>
            </w:r>
          </w:p>
          <w:p w14:paraId="6CED5C99" w14:textId="77777777" w:rsidR="004101B2" w:rsidRPr="00363736" w:rsidRDefault="004101B2" w:rsidP="004101B2">
            <w:pPr>
              <w:autoSpaceDE w:val="0"/>
              <w:autoSpaceDN w:val="0"/>
              <w:adjustRightInd w:val="0"/>
              <w:spacing w:after="120"/>
              <w:jc w:val="both"/>
              <w:rPr>
                <w:lang w:eastAsia="ro-RO"/>
              </w:rPr>
            </w:pPr>
            <w:r w:rsidRPr="00363736">
              <w:rPr>
                <w:lang w:eastAsia="ro-RO"/>
              </w:rPr>
              <w:t>Pentru  produsul de împrumut implementat direct de către BEI:</w:t>
            </w:r>
          </w:p>
          <w:p w14:paraId="69065177" w14:textId="77777777" w:rsidR="004101B2" w:rsidRPr="00363736" w:rsidRDefault="004101B2" w:rsidP="004101B2">
            <w:pPr>
              <w:autoSpaceDE w:val="0"/>
              <w:autoSpaceDN w:val="0"/>
              <w:adjustRightInd w:val="0"/>
              <w:spacing w:after="120"/>
              <w:jc w:val="both"/>
              <w:rPr>
                <w:lang w:eastAsia="ro-RO"/>
              </w:rPr>
            </w:pPr>
            <w:r w:rsidRPr="00363736">
              <w:rPr>
                <w:lang w:eastAsia="ro-RO"/>
              </w:rPr>
              <w:t>suma alocată utilizată ca garanție în numerar pentru fiecare împrumut va fi stabilită de către BEI urmare a procesului de verificare ex-ante în conformitate cu procedurile interne, și care nu va constitui mai mult de 35% din valoarea împrumutului BEI;</w:t>
            </w:r>
          </w:p>
          <w:p w14:paraId="3270340C" w14:textId="77777777" w:rsidR="004101B2" w:rsidRPr="00363736" w:rsidRDefault="004101B2" w:rsidP="004101B2">
            <w:pPr>
              <w:autoSpaceDE w:val="0"/>
              <w:autoSpaceDN w:val="0"/>
              <w:adjustRightInd w:val="0"/>
              <w:spacing w:after="120"/>
              <w:jc w:val="both"/>
              <w:rPr>
                <w:lang w:eastAsia="ro-RO"/>
              </w:rPr>
            </w:pPr>
            <w:r w:rsidRPr="00363736">
              <w:rPr>
                <w:lang w:eastAsia="ro-RO"/>
              </w:rPr>
              <w:t>efectul de levier așteptat este de cel puțin 5.1x;</w:t>
            </w:r>
          </w:p>
          <w:p w14:paraId="158986D4" w14:textId="77777777" w:rsidR="004101B2" w:rsidRPr="00363736" w:rsidRDefault="004101B2" w:rsidP="004101B2">
            <w:pPr>
              <w:autoSpaceDE w:val="0"/>
              <w:autoSpaceDN w:val="0"/>
              <w:adjustRightInd w:val="0"/>
              <w:spacing w:after="120"/>
              <w:jc w:val="both"/>
              <w:rPr>
                <w:lang w:eastAsia="ro-RO"/>
              </w:rPr>
            </w:pPr>
            <w:r w:rsidRPr="00363736">
              <w:rPr>
                <w:lang w:eastAsia="ro-RO"/>
              </w:rPr>
              <w:t>împrumuturile BEI se acordă pe o perioadă de până la 15 ani pentru sectorul energetic și de până la 12 ani pentru toate celelalte sectoare.</w:t>
            </w:r>
          </w:p>
          <w:p w14:paraId="58063E05" w14:textId="77777777" w:rsidR="004101B2" w:rsidRPr="00363736" w:rsidRDefault="004101B2" w:rsidP="004101B2">
            <w:pPr>
              <w:autoSpaceDE w:val="0"/>
              <w:autoSpaceDN w:val="0"/>
              <w:adjustRightInd w:val="0"/>
              <w:spacing w:after="120"/>
              <w:jc w:val="both"/>
              <w:rPr>
                <w:lang w:eastAsia="ro-RO"/>
              </w:rPr>
            </w:pPr>
            <w:r w:rsidRPr="00363736">
              <w:rPr>
                <w:lang w:eastAsia="ro-RO"/>
              </w:rPr>
              <w:t>Pentru produsul de garantare intermediat:</w:t>
            </w:r>
          </w:p>
          <w:p w14:paraId="028618D7" w14:textId="77777777" w:rsidR="004101B2" w:rsidRPr="00363736" w:rsidRDefault="004101B2" w:rsidP="004101B2">
            <w:pPr>
              <w:autoSpaceDE w:val="0"/>
              <w:autoSpaceDN w:val="0"/>
              <w:adjustRightInd w:val="0"/>
              <w:spacing w:after="120"/>
              <w:jc w:val="both"/>
              <w:rPr>
                <w:lang w:eastAsia="ro-RO"/>
              </w:rPr>
            </w:pPr>
            <w:r w:rsidRPr="00363736">
              <w:rPr>
                <w:lang w:eastAsia="ro-RO"/>
              </w:rPr>
              <w:t>acoperirea riscului de credit va fi asigurată tranzacție cu tranzacție, acoperind sumele neplătite în conformitate cu rata de garantare a împrumuturilor acordate de intermediarii financiari și până la acoperirea maximă a riscului. Rata de garantare va fi stabilită la 80%. Intermediarul financiar va păstra restul de 20% din risc;</w:t>
            </w:r>
          </w:p>
          <w:p w14:paraId="6D73AD78" w14:textId="77777777" w:rsidR="004101B2" w:rsidRPr="00363736" w:rsidRDefault="004101B2" w:rsidP="004101B2">
            <w:pPr>
              <w:autoSpaceDE w:val="0"/>
              <w:autoSpaceDN w:val="0"/>
              <w:adjustRightInd w:val="0"/>
              <w:spacing w:after="120"/>
              <w:jc w:val="both"/>
              <w:rPr>
                <w:lang w:eastAsia="ro-RO"/>
              </w:rPr>
            </w:pPr>
            <w:r w:rsidRPr="00363736">
              <w:rPr>
                <w:lang w:eastAsia="ro-RO"/>
              </w:rPr>
              <w:t>durata garanției va fi de 15 ani (sau 25 de ani pentru proiectele implementate de municipalități). Pot fi incluse și împrumuturile către Beneficiari finali cu o scadență care depășește durata garanției;</w:t>
            </w:r>
          </w:p>
          <w:p w14:paraId="09D2CBBC" w14:textId="77777777" w:rsidR="004101B2" w:rsidRPr="00363736" w:rsidRDefault="004101B2" w:rsidP="004101B2">
            <w:pPr>
              <w:autoSpaceDE w:val="0"/>
              <w:autoSpaceDN w:val="0"/>
              <w:adjustRightInd w:val="0"/>
              <w:spacing w:after="120"/>
              <w:jc w:val="both"/>
              <w:rPr>
                <w:lang w:eastAsia="ro-RO"/>
              </w:rPr>
            </w:pPr>
            <w:r w:rsidRPr="00363736">
              <w:rPr>
                <w:lang w:eastAsia="ro-RO"/>
              </w:rPr>
              <w:t>efectul de levier așteptat este de până la  6,25x.</w:t>
            </w:r>
          </w:p>
          <w:p w14:paraId="76DEAE81" w14:textId="77777777" w:rsidR="004101B2" w:rsidRPr="00363736" w:rsidRDefault="004101B2" w:rsidP="004101B2">
            <w:pPr>
              <w:autoSpaceDE w:val="0"/>
              <w:autoSpaceDN w:val="0"/>
              <w:adjustRightInd w:val="0"/>
              <w:spacing w:after="120"/>
              <w:jc w:val="both"/>
              <w:rPr>
                <w:lang w:eastAsia="ro-RO"/>
              </w:rPr>
            </w:pPr>
            <w:r w:rsidRPr="00363736">
              <w:rPr>
                <w:lang w:eastAsia="ro-RO"/>
              </w:rPr>
              <w:t>Totodată, luând în considerare și prevederile art.135 alin. (2)  lit. b) din Constituția României, prin acest instrument de finanțare sunt asigurate interesele naționale în activitatea economică, financiară și valutară prin oferirea unor finanțări companiilor din România, prin care se vor asigura premisele de creștere economică și implicit creșterea veniturilor la bugetul statului.</w:t>
            </w:r>
          </w:p>
          <w:p w14:paraId="57D98871" w14:textId="77777777" w:rsidR="004101B2" w:rsidRPr="00363736" w:rsidRDefault="004101B2" w:rsidP="004101B2">
            <w:pPr>
              <w:autoSpaceDE w:val="0"/>
              <w:autoSpaceDN w:val="0"/>
              <w:adjustRightInd w:val="0"/>
              <w:spacing w:after="120"/>
              <w:jc w:val="both"/>
              <w:rPr>
                <w:lang w:eastAsia="ro-RO"/>
              </w:rPr>
            </w:pPr>
            <w:r w:rsidRPr="00363736">
              <w:rPr>
                <w:lang w:eastAsia="ro-RO"/>
              </w:rPr>
              <w:t>Astfel, prin selectarea BEI ca partener de implementare, MIPE s-a asigurat că instrumentele financiare vor fi implementate de o instituție care are experiență dovedită la nivel internațional în astfel de proiecte.</w:t>
            </w:r>
          </w:p>
          <w:p w14:paraId="5E76AE8D" w14:textId="4F544160" w:rsidR="004101B2" w:rsidRPr="00363736" w:rsidRDefault="004101B2" w:rsidP="004101B2">
            <w:pPr>
              <w:autoSpaceDE w:val="0"/>
              <w:autoSpaceDN w:val="0"/>
              <w:adjustRightInd w:val="0"/>
              <w:spacing w:after="120"/>
              <w:jc w:val="both"/>
              <w:rPr>
                <w:lang w:eastAsia="ro-RO"/>
              </w:rPr>
            </w:pPr>
            <w:r w:rsidRPr="00363736">
              <w:rPr>
                <w:lang w:eastAsia="ro-RO"/>
              </w:rPr>
              <w:t xml:space="preserve">Mai mult decât atât, BEI are un rating cotat AAA conform </w:t>
            </w:r>
            <w:proofErr w:type="spellStart"/>
            <w:r w:rsidRPr="00363736">
              <w:rPr>
                <w:lang w:eastAsia="ro-RO"/>
              </w:rPr>
              <w:t>Moodys</w:t>
            </w:r>
            <w:proofErr w:type="spellEnd"/>
            <w:r w:rsidRPr="00363736">
              <w:rPr>
                <w:lang w:eastAsia="ro-RO"/>
              </w:rPr>
              <w:t>, ceea ce denotă că instituția dispune de o lichiditate foarte mare, un management prudent al riscului, care se reflectă în performanța superioară a activelor.</w:t>
            </w:r>
          </w:p>
          <w:p w14:paraId="1E08DC15" w14:textId="1055EA08" w:rsidR="004101B2" w:rsidRPr="00363736" w:rsidRDefault="004101B2" w:rsidP="008838DB">
            <w:pPr>
              <w:autoSpaceDE w:val="0"/>
              <w:autoSpaceDN w:val="0"/>
              <w:adjustRightInd w:val="0"/>
              <w:spacing w:after="120"/>
              <w:jc w:val="both"/>
              <w:rPr>
                <w:lang w:eastAsia="ro-RO"/>
              </w:rPr>
            </w:pPr>
            <w:r w:rsidRPr="00363736">
              <w:rPr>
                <w:lang w:eastAsia="ro-RO"/>
              </w:rPr>
              <w:t>Monitorizarea și evaluarea implementării Contractului de finanțare se va realiza prin Comitetul de Investiții, structură fără personalitate juridică</w:t>
            </w:r>
            <w:r w:rsidR="00991900" w:rsidRPr="00363736">
              <w:rPr>
                <w:lang w:eastAsia="ro-RO"/>
              </w:rPr>
              <w:t>, ce urmează a fi</w:t>
            </w:r>
            <w:r w:rsidRPr="00363736">
              <w:rPr>
                <w:lang w:eastAsia="ro-RO"/>
              </w:rPr>
              <w:t xml:space="preserve"> </w:t>
            </w:r>
            <w:r w:rsidR="00991900" w:rsidRPr="00363736">
              <w:rPr>
                <w:lang w:eastAsia="ro-RO"/>
              </w:rPr>
              <w:t>constituită</w:t>
            </w:r>
            <w:r w:rsidRPr="00363736">
              <w:rPr>
                <w:lang w:eastAsia="ro-RO"/>
              </w:rPr>
              <w:t xml:space="preserve"> prin ordin comun al ministrului investițiilor și proiectelor europene și al ministrului finanțelor.</w:t>
            </w:r>
          </w:p>
          <w:p w14:paraId="0D720E19" w14:textId="608F5078" w:rsidR="004101B2" w:rsidRPr="00363736" w:rsidRDefault="00924EC8" w:rsidP="008838DB">
            <w:pPr>
              <w:autoSpaceDE w:val="0"/>
              <w:autoSpaceDN w:val="0"/>
              <w:adjustRightInd w:val="0"/>
              <w:spacing w:after="120"/>
              <w:jc w:val="both"/>
              <w:rPr>
                <w:lang w:eastAsia="ro-RO"/>
              </w:rPr>
            </w:pPr>
            <w:r w:rsidRPr="00363736">
              <w:rPr>
                <w:lang w:eastAsia="ro-RO"/>
              </w:rPr>
              <w:t>Etapele indicative  pentru implementarea contractului sunt:</w:t>
            </w:r>
          </w:p>
          <w:tbl>
            <w:tblPr>
              <w:tblStyle w:val="TableNormal1"/>
              <w:tblW w:w="4166" w:type="pct"/>
              <w:tblInd w:w="75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ook w:val="04A0" w:firstRow="1" w:lastRow="0" w:firstColumn="1" w:lastColumn="0" w:noHBand="0" w:noVBand="1"/>
            </w:tblPr>
            <w:tblGrid>
              <w:gridCol w:w="6010"/>
              <w:gridCol w:w="2542"/>
            </w:tblGrid>
            <w:tr w:rsidR="00363736" w:rsidRPr="00363736" w14:paraId="50502E56" w14:textId="77777777" w:rsidTr="005F4559">
              <w:trPr>
                <w:trHeight w:val="241"/>
              </w:trPr>
              <w:tc>
                <w:tcPr>
                  <w:tcW w:w="3514" w:type="pct"/>
                  <w:tcBorders>
                    <w:top w:val="single" w:sz="4" w:space="0" w:color="000000"/>
                    <w:left w:val="single" w:sz="4" w:space="0" w:color="000000"/>
                    <w:bottom w:val="single" w:sz="4" w:space="0" w:color="000000"/>
                    <w:right w:val="single" w:sz="4" w:space="0" w:color="000000"/>
                  </w:tcBorders>
                  <w:shd w:val="clear" w:color="auto" w:fill="BDD6EE"/>
                  <w:tcMar>
                    <w:top w:w="80" w:type="dxa"/>
                    <w:left w:w="80" w:type="dxa"/>
                    <w:bottom w:w="80" w:type="dxa"/>
                    <w:right w:w="80" w:type="dxa"/>
                  </w:tcMar>
                  <w:vAlign w:val="center"/>
                </w:tcPr>
                <w:p w14:paraId="3189E461" w14:textId="77777777" w:rsidR="00924EC8" w:rsidRPr="00363736" w:rsidRDefault="00924EC8" w:rsidP="00924EC8">
                  <w:pPr>
                    <w:autoSpaceDE w:val="0"/>
                    <w:autoSpaceDN w:val="0"/>
                    <w:adjustRightInd w:val="0"/>
                    <w:spacing w:after="120"/>
                    <w:jc w:val="both"/>
                    <w:rPr>
                      <w:lang w:eastAsia="ro-RO"/>
                    </w:rPr>
                  </w:pPr>
                  <w:r w:rsidRPr="00363736">
                    <w:rPr>
                      <w:lang w:eastAsia="ro-RO"/>
                    </w:rPr>
                    <w:lastRenderedPageBreak/>
                    <w:t>ETAPE</w:t>
                  </w:r>
                </w:p>
              </w:tc>
              <w:tc>
                <w:tcPr>
                  <w:tcW w:w="1486" w:type="pct"/>
                  <w:tcBorders>
                    <w:top w:val="single" w:sz="4" w:space="0" w:color="000000"/>
                    <w:left w:val="single" w:sz="4" w:space="0" w:color="000000"/>
                    <w:bottom w:val="single" w:sz="4" w:space="0" w:color="000000"/>
                    <w:right w:val="single" w:sz="4" w:space="0" w:color="000000"/>
                  </w:tcBorders>
                  <w:shd w:val="clear" w:color="auto" w:fill="BDD6EE"/>
                  <w:tcMar>
                    <w:top w:w="80" w:type="dxa"/>
                    <w:left w:w="80" w:type="dxa"/>
                    <w:bottom w:w="80" w:type="dxa"/>
                    <w:right w:w="80" w:type="dxa"/>
                  </w:tcMar>
                  <w:vAlign w:val="center"/>
                </w:tcPr>
                <w:p w14:paraId="120B2326" w14:textId="77777777" w:rsidR="00924EC8" w:rsidRPr="00363736" w:rsidRDefault="00924EC8" w:rsidP="00924EC8">
                  <w:pPr>
                    <w:autoSpaceDE w:val="0"/>
                    <w:autoSpaceDN w:val="0"/>
                    <w:adjustRightInd w:val="0"/>
                    <w:spacing w:after="120"/>
                    <w:jc w:val="both"/>
                    <w:rPr>
                      <w:lang w:eastAsia="ro-RO"/>
                    </w:rPr>
                  </w:pPr>
                  <w:r w:rsidRPr="00363736">
                    <w:rPr>
                      <w:lang w:eastAsia="ro-RO"/>
                    </w:rPr>
                    <w:t xml:space="preserve">Data </w:t>
                  </w:r>
                </w:p>
              </w:tc>
            </w:tr>
            <w:tr w:rsidR="00363736" w:rsidRPr="00363736" w14:paraId="480589DF" w14:textId="77777777" w:rsidTr="005F4559">
              <w:trPr>
                <w:trHeight w:val="336"/>
              </w:trPr>
              <w:tc>
                <w:tcPr>
                  <w:tcW w:w="351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0E88A9" w14:textId="77777777" w:rsidR="00924EC8" w:rsidRPr="00363736" w:rsidRDefault="00924EC8" w:rsidP="00363736">
                  <w:pPr>
                    <w:autoSpaceDE w:val="0"/>
                    <w:autoSpaceDN w:val="0"/>
                    <w:adjustRightInd w:val="0"/>
                    <w:jc w:val="both"/>
                    <w:rPr>
                      <w:lang w:eastAsia="ro-RO"/>
                    </w:rPr>
                  </w:pPr>
                  <w:r w:rsidRPr="00363736">
                    <w:rPr>
                      <w:lang w:eastAsia="ro-RO"/>
                    </w:rPr>
                    <w:t>Semnarea Contractului de Finanțare</w:t>
                  </w:r>
                </w:p>
              </w:tc>
              <w:tc>
                <w:tcPr>
                  <w:tcW w:w="148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B9D990E" w14:textId="77777777" w:rsidR="00924EC8" w:rsidRPr="00363736" w:rsidRDefault="00924EC8">
                  <w:pPr>
                    <w:keepNext/>
                    <w:keepLines/>
                    <w:adjustRightInd w:val="0"/>
                    <w:snapToGrid w:val="0"/>
                    <w:jc w:val="both"/>
                    <w:rPr>
                      <w:lang w:eastAsia="ro-RO"/>
                    </w:rPr>
                  </w:pPr>
                  <w:r w:rsidRPr="00363736">
                    <w:rPr>
                      <w:lang w:eastAsia="ro-RO"/>
                    </w:rPr>
                    <w:t>Q1 2022</w:t>
                  </w:r>
                </w:p>
              </w:tc>
            </w:tr>
            <w:tr w:rsidR="00363736" w:rsidRPr="00363736" w14:paraId="0A913081" w14:textId="77777777" w:rsidTr="005F4559">
              <w:trPr>
                <w:trHeight w:val="300"/>
              </w:trPr>
              <w:tc>
                <w:tcPr>
                  <w:tcW w:w="351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871D69" w14:textId="77777777" w:rsidR="00924EC8" w:rsidRPr="00363736" w:rsidRDefault="00924EC8" w:rsidP="00363736">
                  <w:pPr>
                    <w:autoSpaceDE w:val="0"/>
                    <w:autoSpaceDN w:val="0"/>
                    <w:adjustRightInd w:val="0"/>
                    <w:jc w:val="both"/>
                    <w:rPr>
                      <w:lang w:eastAsia="ro-RO"/>
                    </w:rPr>
                  </w:pPr>
                  <w:r w:rsidRPr="00363736">
                    <w:rPr>
                      <w:lang w:eastAsia="ro-RO"/>
                    </w:rPr>
                    <w:t>Primul Comitet de Investiții și aprobarea Strategiei de Investiții</w:t>
                  </w:r>
                </w:p>
              </w:tc>
              <w:tc>
                <w:tcPr>
                  <w:tcW w:w="148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580001D" w14:textId="77777777" w:rsidR="00924EC8" w:rsidRPr="00363736" w:rsidRDefault="00924EC8" w:rsidP="00363736">
                  <w:pPr>
                    <w:autoSpaceDE w:val="0"/>
                    <w:autoSpaceDN w:val="0"/>
                    <w:adjustRightInd w:val="0"/>
                    <w:jc w:val="both"/>
                    <w:rPr>
                      <w:lang w:eastAsia="ro-RO"/>
                    </w:rPr>
                  </w:pPr>
                  <w:r w:rsidRPr="00363736">
                    <w:rPr>
                      <w:lang w:eastAsia="ro-RO"/>
                    </w:rPr>
                    <w:t>Finalul Q1 2022</w:t>
                  </w:r>
                </w:p>
              </w:tc>
            </w:tr>
            <w:tr w:rsidR="00363736" w:rsidRPr="00363736" w14:paraId="2D0A6268" w14:textId="77777777" w:rsidTr="005F4559">
              <w:trPr>
                <w:trHeight w:val="300"/>
              </w:trPr>
              <w:tc>
                <w:tcPr>
                  <w:tcW w:w="351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FE81C7" w14:textId="77777777" w:rsidR="00924EC8" w:rsidRPr="00363736" w:rsidRDefault="00924EC8" w:rsidP="00363736">
                  <w:pPr>
                    <w:autoSpaceDE w:val="0"/>
                    <w:autoSpaceDN w:val="0"/>
                    <w:adjustRightInd w:val="0"/>
                    <w:jc w:val="both"/>
                    <w:rPr>
                      <w:lang w:eastAsia="ro-RO"/>
                    </w:rPr>
                  </w:pPr>
                  <w:r w:rsidRPr="00363736">
                    <w:rPr>
                      <w:lang w:eastAsia="ro-RO"/>
                    </w:rPr>
                    <w:t xml:space="preserve">Autorizarea Ajutorului de Stat </w:t>
                  </w:r>
                </w:p>
              </w:tc>
              <w:tc>
                <w:tcPr>
                  <w:tcW w:w="148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4C5A2FC" w14:textId="77777777" w:rsidR="00924EC8" w:rsidRPr="00363736" w:rsidRDefault="00924EC8" w:rsidP="00363736">
                  <w:pPr>
                    <w:autoSpaceDE w:val="0"/>
                    <w:autoSpaceDN w:val="0"/>
                    <w:adjustRightInd w:val="0"/>
                    <w:jc w:val="both"/>
                    <w:rPr>
                      <w:lang w:eastAsia="ro-RO"/>
                    </w:rPr>
                  </w:pPr>
                  <w:r w:rsidRPr="00363736">
                    <w:rPr>
                      <w:lang w:eastAsia="ro-RO"/>
                    </w:rPr>
                    <w:t>Q1 2022</w:t>
                  </w:r>
                </w:p>
              </w:tc>
            </w:tr>
            <w:tr w:rsidR="00363736" w:rsidRPr="00363736" w14:paraId="53C82FC3" w14:textId="77777777" w:rsidTr="005F4559">
              <w:trPr>
                <w:trHeight w:val="300"/>
              </w:trPr>
              <w:tc>
                <w:tcPr>
                  <w:tcW w:w="351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6E06DA" w14:textId="77777777" w:rsidR="00924EC8" w:rsidRPr="00363736" w:rsidRDefault="00924EC8" w:rsidP="00363736">
                  <w:pPr>
                    <w:autoSpaceDE w:val="0"/>
                    <w:autoSpaceDN w:val="0"/>
                    <w:adjustRightInd w:val="0"/>
                    <w:jc w:val="both"/>
                    <w:rPr>
                      <w:lang w:eastAsia="ro-RO"/>
                    </w:rPr>
                  </w:pPr>
                  <w:r w:rsidRPr="00363736">
                    <w:rPr>
                      <w:lang w:eastAsia="ro-RO"/>
                    </w:rPr>
                    <w:t>Publicarea Cererii de Exprimare a Interesului și atragerea Intermediarilor Financiari pentru Produsul Intermediat</w:t>
                  </w:r>
                </w:p>
              </w:tc>
              <w:tc>
                <w:tcPr>
                  <w:tcW w:w="148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2098F38" w14:textId="77777777" w:rsidR="00924EC8" w:rsidRPr="00363736" w:rsidRDefault="00924EC8" w:rsidP="00363736">
                  <w:pPr>
                    <w:autoSpaceDE w:val="0"/>
                    <w:autoSpaceDN w:val="0"/>
                    <w:adjustRightInd w:val="0"/>
                    <w:jc w:val="both"/>
                    <w:rPr>
                      <w:lang w:eastAsia="ro-RO"/>
                    </w:rPr>
                  </w:pPr>
                  <w:r w:rsidRPr="00363736">
                    <w:rPr>
                      <w:lang w:eastAsia="ro-RO"/>
                    </w:rPr>
                    <w:t>Q2 2022</w:t>
                  </w:r>
                </w:p>
              </w:tc>
            </w:tr>
            <w:tr w:rsidR="00363736" w:rsidRPr="00363736" w14:paraId="1D06F21A" w14:textId="77777777" w:rsidTr="005F4559">
              <w:trPr>
                <w:trHeight w:val="241"/>
              </w:trPr>
              <w:tc>
                <w:tcPr>
                  <w:tcW w:w="351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1DD2335" w14:textId="77777777" w:rsidR="00924EC8" w:rsidRPr="00363736" w:rsidRDefault="00924EC8" w:rsidP="00363736">
                  <w:pPr>
                    <w:autoSpaceDE w:val="0"/>
                    <w:autoSpaceDN w:val="0"/>
                    <w:adjustRightInd w:val="0"/>
                    <w:jc w:val="both"/>
                    <w:rPr>
                      <w:lang w:eastAsia="ro-RO"/>
                    </w:rPr>
                  </w:pPr>
                  <w:r w:rsidRPr="00363736">
                    <w:rPr>
                      <w:lang w:eastAsia="ro-RO"/>
                    </w:rPr>
                    <w:t>Începerea activităților de investiții în legătură cu Produsul de Creditare Directă</w:t>
                  </w:r>
                </w:p>
              </w:tc>
              <w:tc>
                <w:tcPr>
                  <w:tcW w:w="148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B9C7A26" w14:textId="77777777" w:rsidR="00924EC8" w:rsidRPr="00363736" w:rsidRDefault="00924EC8" w:rsidP="00363736">
                  <w:pPr>
                    <w:autoSpaceDE w:val="0"/>
                    <w:autoSpaceDN w:val="0"/>
                    <w:adjustRightInd w:val="0"/>
                    <w:jc w:val="both"/>
                    <w:rPr>
                      <w:lang w:eastAsia="ro-RO"/>
                    </w:rPr>
                  </w:pPr>
                  <w:r w:rsidRPr="00363736">
                    <w:rPr>
                      <w:lang w:eastAsia="ro-RO"/>
                    </w:rPr>
                    <w:t>Q2 2022</w:t>
                  </w:r>
                </w:p>
              </w:tc>
            </w:tr>
            <w:tr w:rsidR="00363736" w:rsidRPr="00363736" w14:paraId="33D8FF2E" w14:textId="77777777" w:rsidTr="005F4559">
              <w:trPr>
                <w:trHeight w:val="241"/>
              </w:trPr>
              <w:tc>
                <w:tcPr>
                  <w:tcW w:w="351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82914F" w14:textId="77777777" w:rsidR="00924EC8" w:rsidRPr="00363736" w:rsidRDefault="00924EC8" w:rsidP="00363736">
                  <w:pPr>
                    <w:autoSpaceDE w:val="0"/>
                    <w:autoSpaceDN w:val="0"/>
                    <w:adjustRightInd w:val="0"/>
                    <w:jc w:val="both"/>
                    <w:rPr>
                      <w:lang w:eastAsia="ro-RO"/>
                    </w:rPr>
                  </w:pPr>
                  <w:r w:rsidRPr="00363736">
                    <w:rPr>
                      <w:lang w:eastAsia="ro-RO"/>
                    </w:rPr>
                    <w:t>Evaluarea și selectarea Intermediarilor Financiari</w:t>
                  </w:r>
                </w:p>
              </w:tc>
              <w:tc>
                <w:tcPr>
                  <w:tcW w:w="148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20D5093" w14:textId="77777777" w:rsidR="00924EC8" w:rsidRPr="00363736" w:rsidRDefault="00924EC8" w:rsidP="00363736">
                  <w:pPr>
                    <w:autoSpaceDE w:val="0"/>
                    <w:autoSpaceDN w:val="0"/>
                    <w:adjustRightInd w:val="0"/>
                    <w:jc w:val="both"/>
                    <w:rPr>
                      <w:lang w:eastAsia="ro-RO"/>
                    </w:rPr>
                  </w:pPr>
                  <w:r w:rsidRPr="00363736">
                    <w:rPr>
                      <w:lang w:eastAsia="ro-RO"/>
                    </w:rPr>
                    <w:t>Q2 2022</w:t>
                  </w:r>
                </w:p>
              </w:tc>
            </w:tr>
            <w:tr w:rsidR="00363736" w:rsidRPr="00363736" w14:paraId="796EA786" w14:textId="77777777" w:rsidTr="005F4559">
              <w:trPr>
                <w:trHeight w:val="241"/>
              </w:trPr>
              <w:tc>
                <w:tcPr>
                  <w:tcW w:w="351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C25124" w14:textId="77777777" w:rsidR="00924EC8" w:rsidRPr="00363736" w:rsidRDefault="00924EC8" w:rsidP="00363736">
                  <w:pPr>
                    <w:autoSpaceDE w:val="0"/>
                    <w:autoSpaceDN w:val="0"/>
                    <w:adjustRightInd w:val="0"/>
                    <w:jc w:val="both"/>
                    <w:rPr>
                      <w:lang w:eastAsia="ro-RO"/>
                    </w:rPr>
                  </w:pPr>
                  <w:r w:rsidRPr="00363736">
                    <w:rPr>
                      <w:lang w:eastAsia="ro-RO"/>
                    </w:rPr>
                    <w:t>Semnarea Acordului Operațional cu Intermediarii Financiari selectați</w:t>
                  </w:r>
                </w:p>
              </w:tc>
              <w:tc>
                <w:tcPr>
                  <w:tcW w:w="148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7AFAC38" w14:textId="77777777" w:rsidR="00924EC8" w:rsidRPr="00363736" w:rsidRDefault="00924EC8" w:rsidP="00363736">
                  <w:pPr>
                    <w:autoSpaceDE w:val="0"/>
                    <w:autoSpaceDN w:val="0"/>
                    <w:adjustRightInd w:val="0"/>
                    <w:jc w:val="both"/>
                    <w:rPr>
                      <w:lang w:eastAsia="ro-RO"/>
                    </w:rPr>
                  </w:pPr>
                  <w:r w:rsidRPr="00363736">
                    <w:rPr>
                      <w:lang w:eastAsia="ro-RO"/>
                    </w:rPr>
                    <w:t>Q3 2022</w:t>
                  </w:r>
                </w:p>
              </w:tc>
            </w:tr>
            <w:tr w:rsidR="00363736" w:rsidRPr="00363736" w14:paraId="2A5173E7" w14:textId="77777777" w:rsidTr="005F4559">
              <w:trPr>
                <w:trHeight w:val="241"/>
              </w:trPr>
              <w:tc>
                <w:tcPr>
                  <w:tcW w:w="351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1DAEF3" w14:textId="77777777" w:rsidR="00924EC8" w:rsidRPr="00363736" w:rsidRDefault="00924EC8" w:rsidP="00363736">
                  <w:pPr>
                    <w:autoSpaceDE w:val="0"/>
                    <w:autoSpaceDN w:val="0"/>
                    <w:adjustRightInd w:val="0"/>
                    <w:jc w:val="both"/>
                    <w:rPr>
                      <w:lang w:eastAsia="ro-RO"/>
                    </w:rPr>
                  </w:pPr>
                  <w:r w:rsidRPr="00363736">
                    <w:rPr>
                      <w:lang w:eastAsia="ro-RO"/>
                    </w:rPr>
                    <w:t>Începerea activităților de investiții – Produs intermediat</w:t>
                  </w:r>
                </w:p>
              </w:tc>
              <w:tc>
                <w:tcPr>
                  <w:tcW w:w="148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ECD7013" w14:textId="77777777" w:rsidR="00924EC8" w:rsidRPr="00363736" w:rsidRDefault="00924EC8" w:rsidP="00363736">
                  <w:pPr>
                    <w:autoSpaceDE w:val="0"/>
                    <w:autoSpaceDN w:val="0"/>
                    <w:adjustRightInd w:val="0"/>
                    <w:jc w:val="both"/>
                    <w:rPr>
                      <w:lang w:eastAsia="ro-RO"/>
                    </w:rPr>
                  </w:pPr>
                  <w:r w:rsidRPr="00363736">
                    <w:rPr>
                      <w:lang w:eastAsia="ro-RO"/>
                    </w:rPr>
                    <w:t>Q3/Q4 2022</w:t>
                  </w:r>
                </w:p>
              </w:tc>
            </w:tr>
            <w:tr w:rsidR="00363736" w:rsidRPr="00363736" w14:paraId="7CC657BE" w14:textId="77777777" w:rsidTr="005F4559">
              <w:trPr>
                <w:trHeight w:val="241"/>
              </w:trPr>
              <w:tc>
                <w:tcPr>
                  <w:tcW w:w="351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D82715" w14:textId="77777777" w:rsidR="00924EC8" w:rsidRPr="00363736" w:rsidRDefault="00924EC8" w:rsidP="00363736">
                  <w:pPr>
                    <w:autoSpaceDE w:val="0"/>
                    <w:autoSpaceDN w:val="0"/>
                    <w:adjustRightInd w:val="0"/>
                    <w:jc w:val="both"/>
                    <w:rPr>
                      <w:lang w:eastAsia="ro-RO"/>
                    </w:rPr>
                  </w:pPr>
                  <w:r w:rsidRPr="00363736">
                    <w:rPr>
                      <w:lang w:eastAsia="ro-RO"/>
                    </w:rPr>
                    <w:t>30% din totalul investițiilor alocate Beneficiarilor Finali</w:t>
                  </w:r>
                </w:p>
              </w:tc>
              <w:tc>
                <w:tcPr>
                  <w:tcW w:w="148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C601304" w14:textId="77777777" w:rsidR="00924EC8" w:rsidRPr="00363736" w:rsidRDefault="00924EC8" w:rsidP="00363736">
                  <w:pPr>
                    <w:autoSpaceDE w:val="0"/>
                    <w:autoSpaceDN w:val="0"/>
                    <w:adjustRightInd w:val="0"/>
                    <w:jc w:val="both"/>
                    <w:rPr>
                      <w:lang w:eastAsia="ro-RO"/>
                    </w:rPr>
                  </w:pPr>
                  <w:r w:rsidRPr="00363736">
                    <w:rPr>
                      <w:lang w:eastAsia="ro-RO"/>
                    </w:rPr>
                    <w:t>Q4 2024</w:t>
                  </w:r>
                </w:p>
              </w:tc>
            </w:tr>
            <w:tr w:rsidR="00363736" w:rsidRPr="00363736" w14:paraId="3C45F02C" w14:textId="77777777" w:rsidTr="005F4559">
              <w:trPr>
                <w:trHeight w:val="241"/>
              </w:trPr>
              <w:tc>
                <w:tcPr>
                  <w:tcW w:w="351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210550" w14:textId="77777777" w:rsidR="00924EC8" w:rsidRPr="00363736" w:rsidRDefault="00924EC8" w:rsidP="00363736">
                  <w:pPr>
                    <w:autoSpaceDE w:val="0"/>
                    <w:autoSpaceDN w:val="0"/>
                    <w:adjustRightInd w:val="0"/>
                    <w:jc w:val="both"/>
                    <w:rPr>
                      <w:lang w:eastAsia="ro-RO"/>
                    </w:rPr>
                  </w:pPr>
                  <w:r w:rsidRPr="00363736">
                    <w:rPr>
                      <w:lang w:eastAsia="ro-RO"/>
                    </w:rPr>
                    <w:t>100% din toate investițiile alocate Beneficiarilor Finali</w:t>
                  </w:r>
                </w:p>
              </w:tc>
              <w:tc>
                <w:tcPr>
                  <w:tcW w:w="148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DD5C07A" w14:textId="77777777" w:rsidR="00924EC8" w:rsidRPr="00363736" w:rsidRDefault="00924EC8" w:rsidP="00363736">
                  <w:pPr>
                    <w:autoSpaceDE w:val="0"/>
                    <w:autoSpaceDN w:val="0"/>
                    <w:adjustRightInd w:val="0"/>
                    <w:jc w:val="both"/>
                    <w:rPr>
                      <w:lang w:eastAsia="ro-RO"/>
                    </w:rPr>
                  </w:pPr>
                  <w:r w:rsidRPr="00363736">
                    <w:rPr>
                      <w:lang w:eastAsia="ro-RO"/>
                    </w:rPr>
                    <w:t>Q2 2026</w:t>
                  </w:r>
                </w:p>
              </w:tc>
            </w:tr>
          </w:tbl>
          <w:p w14:paraId="750EE91A" w14:textId="77777777" w:rsidR="00924EC8" w:rsidRPr="00363736" w:rsidRDefault="00924EC8" w:rsidP="008838DB">
            <w:pPr>
              <w:autoSpaceDE w:val="0"/>
              <w:autoSpaceDN w:val="0"/>
              <w:adjustRightInd w:val="0"/>
              <w:spacing w:after="120"/>
              <w:jc w:val="both"/>
              <w:rPr>
                <w:lang w:eastAsia="ro-RO"/>
              </w:rPr>
            </w:pPr>
          </w:p>
          <w:p w14:paraId="31F03B5D" w14:textId="77777777" w:rsidR="00924EC8" w:rsidRPr="00363736" w:rsidRDefault="00223491" w:rsidP="00924EC8">
            <w:pPr>
              <w:autoSpaceDE w:val="0"/>
              <w:autoSpaceDN w:val="0"/>
              <w:adjustRightInd w:val="0"/>
              <w:spacing w:after="120"/>
              <w:jc w:val="both"/>
              <w:rPr>
                <w:b/>
                <w:bCs/>
                <w:lang w:eastAsia="en-GB"/>
              </w:rPr>
            </w:pPr>
            <w:r w:rsidRPr="00363736">
              <w:rPr>
                <w:b/>
                <w:bCs/>
                <w:lang w:eastAsia="en-GB"/>
              </w:rPr>
              <w:t>2.4 Alte informații</w:t>
            </w:r>
          </w:p>
          <w:p w14:paraId="45862F79" w14:textId="0250B5E8" w:rsidR="00223491" w:rsidRPr="00363736" w:rsidRDefault="00924EC8" w:rsidP="00924EC8">
            <w:pPr>
              <w:autoSpaceDE w:val="0"/>
              <w:autoSpaceDN w:val="0"/>
              <w:adjustRightInd w:val="0"/>
              <w:spacing w:after="120"/>
              <w:jc w:val="both"/>
              <w:rPr>
                <w:bCs/>
                <w:lang w:eastAsia="en-GB"/>
              </w:rPr>
            </w:pPr>
            <w:r w:rsidRPr="00363736">
              <w:rPr>
                <w:b/>
                <w:bCs/>
                <w:lang w:eastAsia="en-GB"/>
              </w:rPr>
              <w:t>Nu au fost identificate.</w:t>
            </w:r>
          </w:p>
        </w:tc>
      </w:tr>
    </w:tbl>
    <w:p w14:paraId="2DB4CCB7" w14:textId="77777777" w:rsidR="003864F6" w:rsidRPr="00363736" w:rsidRDefault="00DB715E" w:rsidP="008838DB">
      <w:pPr>
        <w:spacing w:after="120"/>
        <w:rPr>
          <w:b/>
        </w:rPr>
      </w:pPr>
      <w:r w:rsidRPr="00363736">
        <w:rPr>
          <w:b/>
        </w:rPr>
        <w:lastRenderedPageBreak/>
        <w:t xml:space="preserve">   </w:t>
      </w:r>
      <w:r w:rsidR="007C16BF" w:rsidRPr="00363736">
        <w:rPr>
          <w:b/>
        </w:rPr>
        <w:t xml:space="preserve">   </w:t>
      </w:r>
    </w:p>
    <w:p w14:paraId="4794020D" w14:textId="141F7D6C" w:rsidR="00223491" w:rsidRPr="00363736" w:rsidRDefault="003864F6" w:rsidP="008838DB">
      <w:pPr>
        <w:spacing w:after="120"/>
        <w:ind w:firstLine="720"/>
        <w:rPr>
          <w:b/>
        </w:rPr>
      </w:pPr>
      <w:r w:rsidRPr="00363736">
        <w:rPr>
          <w:b/>
        </w:rPr>
        <w:t>Secțiunea</w:t>
      </w:r>
      <w:r w:rsidR="00670C79" w:rsidRPr="00363736">
        <w:rPr>
          <w:b/>
        </w:rPr>
        <w:t xml:space="preserve"> a 3-a </w:t>
      </w:r>
    </w:p>
    <w:p w14:paraId="4E4A7A8E" w14:textId="485C7CAC" w:rsidR="00670C79" w:rsidRPr="00363736" w:rsidRDefault="00670C79" w:rsidP="008838DB">
      <w:pPr>
        <w:spacing w:after="120"/>
        <w:ind w:firstLine="720"/>
        <w:rPr>
          <w:b/>
        </w:rPr>
      </w:pPr>
      <w:r w:rsidRPr="00363736">
        <w:rPr>
          <w:b/>
        </w:rPr>
        <w:t xml:space="preserve">Impactul socioeconomic </w:t>
      </w:r>
      <w:r w:rsidR="0064777F" w:rsidRPr="00363736">
        <w:rPr>
          <w:b/>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363736" w:rsidRPr="00363736" w14:paraId="4F7B7B5A" w14:textId="77777777" w:rsidTr="007C07B3">
        <w:tc>
          <w:tcPr>
            <w:tcW w:w="10533" w:type="dxa"/>
          </w:tcPr>
          <w:p w14:paraId="612A275C" w14:textId="77777777" w:rsidR="00F72189" w:rsidRPr="00363736" w:rsidRDefault="00F72189" w:rsidP="008838DB">
            <w:pPr>
              <w:spacing w:after="120"/>
              <w:jc w:val="both"/>
              <w:rPr>
                <w:b/>
              </w:rPr>
            </w:pPr>
            <w:r w:rsidRPr="00363736">
              <w:rPr>
                <w:b/>
              </w:rPr>
              <w:t>3.1 Descrierea generală a beneficiilor și costurilor estimate ca urmare a intrării în vigoare a actului normativ</w:t>
            </w:r>
          </w:p>
          <w:p w14:paraId="0675353F" w14:textId="77777777" w:rsidR="00F72189" w:rsidRPr="00363736" w:rsidRDefault="00F72189" w:rsidP="008838DB">
            <w:pPr>
              <w:spacing w:after="120"/>
              <w:jc w:val="both"/>
              <w:rPr>
                <w:b/>
              </w:rPr>
            </w:pPr>
            <w:r w:rsidRPr="00363736">
              <w:rPr>
                <w:b/>
              </w:rPr>
              <w:t>3.2 Impactul social</w:t>
            </w:r>
          </w:p>
          <w:p w14:paraId="7E0F42C8" w14:textId="77777777" w:rsidR="00924EC8" w:rsidRPr="00363736" w:rsidRDefault="00924EC8" w:rsidP="008838DB">
            <w:pPr>
              <w:spacing w:after="120"/>
              <w:jc w:val="both"/>
              <w:rPr>
                <w:bCs/>
                <w:lang w:val="en-US"/>
              </w:rPr>
            </w:pPr>
            <w:proofErr w:type="spellStart"/>
            <w:r w:rsidRPr="00363736">
              <w:rPr>
                <w:bCs/>
                <w:lang w:val="en-US"/>
              </w:rPr>
              <w:t>Prezentul</w:t>
            </w:r>
            <w:proofErr w:type="spellEnd"/>
            <w:r w:rsidRPr="00363736">
              <w:rPr>
                <w:bCs/>
                <w:lang w:val="en-US"/>
              </w:rPr>
              <w:t xml:space="preserve"> act </w:t>
            </w:r>
            <w:proofErr w:type="spellStart"/>
            <w:r w:rsidRPr="00363736">
              <w:rPr>
                <w:bCs/>
                <w:lang w:val="en-US"/>
              </w:rPr>
              <w:t>normativ</w:t>
            </w:r>
            <w:proofErr w:type="spellEnd"/>
            <w:r w:rsidRPr="00363736">
              <w:rPr>
                <w:bCs/>
                <w:lang w:val="en-US"/>
              </w:rPr>
              <w:t xml:space="preserve"> nu se </w:t>
            </w:r>
            <w:proofErr w:type="spellStart"/>
            <w:r w:rsidRPr="00363736">
              <w:rPr>
                <w:bCs/>
                <w:lang w:val="en-US"/>
              </w:rPr>
              <w:t>referă</w:t>
            </w:r>
            <w:proofErr w:type="spellEnd"/>
            <w:r w:rsidRPr="00363736">
              <w:rPr>
                <w:bCs/>
                <w:lang w:val="en-US"/>
              </w:rPr>
              <w:t xml:space="preserve"> la </w:t>
            </w:r>
            <w:proofErr w:type="spellStart"/>
            <w:r w:rsidRPr="00363736">
              <w:rPr>
                <w:bCs/>
                <w:lang w:val="en-US"/>
              </w:rPr>
              <w:t>acest</w:t>
            </w:r>
            <w:proofErr w:type="spellEnd"/>
            <w:r w:rsidRPr="00363736">
              <w:rPr>
                <w:bCs/>
                <w:lang w:val="en-US"/>
              </w:rPr>
              <w:t xml:space="preserve"> </w:t>
            </w:r>
            <w:proofErr w:type="spellStart"/>
            <w:r w:rsidRPr="00363736">
              <w:rPr>
                <w:bCs/>
                <w:lang w:val="en-US"/>
              </w:rPr>
              <w:t>subiect</w:t>
            </w:r>
            <w:proofErr w:type="spellEnd"/>
            <w:r w:rsidRPr="00363736">
              <w:rPr>
                <w:bCs/>
                <w:lang w:val="en-US"/>
              </w:rPr>
              <w:t>.</w:t>
            </w:r>
          </w:p>
          <w:p w14:paraId="71A3E7CB" w14:textId="2A3994D4" w:rsidR="00F72189" w:rsidRPr="00363736" w:rsidRDefault="00F72189" w:rsidP="008838DB">
            <w:pPr>
              <w:spacing w:after="120"/>
              <w:jc w:val="both"/>
              <w:rPr>
                <w:b/>
              </w:rPr>
            </w:pPr>
            <w:r w:rsidRPr="00363736">
              <w:rPr>
                <w:b/>
              </w:rPr>
              <w:t xml:space="preserve">3.3. Impactul asupra drepturilor și libertăților fundamentale ale omului </w:t>
            </w:r>
          </w:p>
          <w:p w14:paraId="11B1B4A2" w14:textId="77777777" w:rsidR="00924EC8" w:rsidRPr="00363736" w:rsidRDefault="00924EC8" w:rsidP="008838DB">
            <w:pPr>
              <w:spacing w:after="120"/>
              <w:jc w:val="both"/>
              <w:rPr>
                <w:bCs/>
              </w:rPr>
            </w:pPr>
            <w:r w:rsidRPr="00363736">
              <w:rPr>
                <w:bCs/>
              </w:rPr>
              <w:t>Prezentul act normativ nu se referă la acest subiect.</w:t>
            </w:r>
          </w:p>
          <w:p w14:paraId="139B6ECC" w14:textId="696B5329" w:rsidR="00FB45DC" w:rsidRPr="00363736" w:rsidRDefault="00FD3526" w:rsidP="008838DB">
            <w:pPr>
              <w:spacing w:after="120"/>
              <w:jc w:val="both"/>
              <w:rPr>
                <w:b/>
              </w:rPr>
            </w:pPr>
            <w:r w:rsidRPr="00363736">
              <w:rPr>
                <w:b/>
              </w:rPr>
              <w:t>3.4. Impactul macroeconomic</w:t>
            </w:r>
          </w:p>
          <w:p w14:paraId="55624175" w14:textId="093B57DD" w:rsidR="00924EC8" w:rsidRPr="00363736" w:rsidRDefault="00924EC8" w:rsidP="008838DB">
            <w:pPr>
              <w:spacing w:after="120"/>
              <w:jc w:val="both"/>
              <w:rPr>
                <w:b/>
              </w:rPr>
            </w:pPr>
            <w:proofErr w:type="spellStart"/>
            <w:r w:rsidRPr="00363736">
              <w:rPr>
                <w:bCs/>
                <w:lang w:val="en-US"/>
              </w:rPr>
              <w:t>Prezentul</w:t>
            </w:r>
            <w:proofErr w:type="spellEnd"/>
            <w:r w:rsidRPr="00363736">
              <w:rPr>
                <w:bCs/>
                <w:lang w:val="en-US"/>
              </w:rPr>
              <w:t xml:space="preserve"> act </w:t>
            </w:r>
            <w:proofErr w:type="spellStart"/>
            <w:r w:rsidRPr="00363736">
              <w:rPr>
                <w:bCs/>
                <w:lang w:val="en-US"/>
              </w:rPr>
              <w:t>normativ</w:t>
            </w:r>
            <w:proofErr w:type="spellEnd"/>
            <w:r w:rsidRPr="00363736">
              <w:rPr>
                <w:bCs/>
                <w:lang w:val="en-US"/>
              </w:rPr>
              <w:t xml:space="preserve"> nu se </w:t>
            </w:r>
            <w:proofErr w:type="spellStart"/>
            <w:r w:rsidRPr="00363736">
              <w:rPr>
                <w:bCs/>
                <w:lang w:val="en-US"/>
              </w:rPr>
              <w:t>referă</w:t>
            </w:r>
            <w:proofErr w:type="spellEnd"/>
            <w:r w:rsidRPr="00363736">
              <w:rPr>
                <w:bCs/>
                <w:lang w:val="en-US"/>
              </w:rPr>
              <w:t xml:space="preserve"> la </w:t>
            </w:r>
            <w:proofErr w:type="spellStart"/>
            <w:r w:rsidRPr="00363736">
              <w:rPr>
                <w:bCs/>
                <w:lang w:val="en-US"/>
              </w:rPr>
              <w:t>acest</w:t>
            </w:r>
            <w:proofErr w:type="spellEnd"/>
            <w:r w:rsidRPr="00363736">
              <w:rPr>
                <w:bCs/>
                <w:lang w:val="en-US"/>
              </w:rPr>
              <w:t xml:space="preserve"> </w:t>
            </w:r>
            <w:proofErr w:type="spellStart"/>
            <w:r w:rsidRPr="00363736">
              <w:rPr>
                <w:bCs/>
                <w:lang w:val="en-US"/>
              </w:rPr>
              <w:t>subiect</w:t>
            </w:r>
            <w:proofErr w:type="spellEnd"/>
            <w:r w:rsidRPr="00363736">
              <w:rPr>
                <w:bCs/>
                <w:lang w:val="en-US"/>
              </w:rPr>
              <w:t>.</w:t>
            </w:r>
          </w:p>
          <w:p w14:paraId="164EC38B" w14:textId="4863D9E5" w:rsidR="00F72189" w:rsidRPr="00363736" w:rsidRDefault="00F72189" w:rsidP="008838DB">
            <w:pPr>
              <w:spacing w:after="120"/>
              <w:jc w:val="both"/>
              <w:rPr>
                <w:b/>
              </w:rPr>
            </w:pPr>
            <w:r w:rsidRPr="00363736">
              <w:rPr>
                <w:b/>
              </w:rPr>
              <w:t>3.</w:t>
            </w:r>
            <w:r w:rsidR="00FD3526" w:rsidRPr="00363736">
              <w:rPr>
                <w:b/>
              </w:rPr>
              <w:t>4</w:t>
            </w:r>
            <w:r w:rsidRPr="00363736">
              <w:rPr>
                <w:b/>
              </w:rPr>
              <w:t xml:space="preserve">.1 Impactul asupra </w:t>
            </w:r>
            <w:r w:rsidR="00FD3526" w:rsidRPr="00363736">
              <w:rPr>
                <w:b/>
              </w:rPr>
              <w:t xml:space="preserve">economiei și asupra </w:t>
            </w:r>
            <w:r w:rsidRPr="00363736">
              <w:rPr>
                <w:b/>
              </w:rPr>
              <w:t>principalilor indicatori macroeconomici</w:t>
            </w:r>
          </w:p>
          <w:p w14:paraId="77257FA0" w14:textId="77777777" w:rsidR="00924EC8" w:rsidRPr="00363736" w:rsidRDefault="00924EC8" w:rsidP="008838DB">
            <w:pPr>
              <w:spacing w:after="120"/>
              <w:jc w:val="both"/>
            </w:pPr>
            <w:r w:rsidRPr="00363736">
              <w:t>Prezentul act normativ nu se referă la acest subiect.</w:t>
            </w:r>
          </w:p>
          <w:p w14:paraId="18C98DD5" w14:textId="2A5E1A59" w:rsidR="00F72189" w:rsidRPr="00363736" w:rsidRDefault="00F72189" w:rsidP="008838DB">
            <w:pPr>
              <w:spacing w:after="120"/>
              <w:jc w:val="both"/>
              <w:rPr>
                <w:b/>
              </w:rPr>
            </w:pPr>
            <w:r w:rsidRPr="00363736">
              <w:rPr>
                <w:b/>
              </w:rPr>
              <w:t>3.</w:t>
            </w:r>
            <w:r w:rsidR="00FD3526" w:rsidRPr="00363736">
              <w:rPr>
                <w:b/>
              </w:rPr>
              <w:t>4</w:t>
            </w:r>
            <w:r w:rsidRPr="00363736">
              <w:rPr>
                <w:b/>
              </w:rPr>
              <w:t>.2 Impactul asupra mediului concurențial si domeniul</w:t>
            </w:r>
            <w:r w:rsidR="00FB45DC" w:rsidRPr="00363736">
              <w:rPr>
                <w:b/>
              </w:rPr>
              <w:t>ui</w:t>
            </w:r>
            <w:r w:rsidRPr="00363736">
              <w:rPr>
                <w:b/>
              </w:rPr>
              <w:t xml:space="preserve"> ajutoarelor de stat</w:t>
            </w:r>
          </w:p>
          <w:p w14:paraId="1C2D81D4" w14:textId="77777777" w:rsidR="00B9412E" w:rsidRPr="00363736" w:rsidRDefault="00B9412E" w:rsidP="008838DB">
            <w:pPr>
              <w:spacing w:after="120"/>
              <w:jc w:val="both"/>
            </w:pPr>
            <w:r w:rsidRPr="00363736">
              <w:t xml:space="preserve">Înainte de acordarea finanțărilor pentru întreprinderi, Ministerul Investițiilor și Proiectelor Europene consultă Consiliul Concurenței în legătură cu cadrul de ajutoare de stat aplicabil fiecărui instrument și inițiază, dacă este cazul, scheme de ajutoare de stat și de </w:t>
            </w:r>
            <w:proofErr w:type="spellStart"/>
            <w:r w:rsidRPr="00363736">
              <w:t>minimis</w:t>
            </w:r>
            <w:proofErr w:type="spellEnd"/>
            <w:r w:rsidRPr="00363736">
              <w:t xml:space="preserve">. </w:t>
            </w:r>
          </w:p>
          <w:p w14:paraId="5D645A5F" w14:textId="7FBD4C85" w:rsidR="00F72189" w:rsidRPr="00363736" w:rsidRDefault="00F72189" w:rsidP="008838DB">
            <w:pPr>
              <w:spacing w:after="120"/>
              <w:jc w:val="both"/>
              <w:rPr>
                <w:b/>
              </w:rPr>
            </w:pPr>
            <w:r w:rsidRPr="00363736">
              <w:rPr>
                <w:b/>
              </w:rPr>
              <w:t>3.</w:t>
            </w:r>
            <w:r w:rsidR="00FD3526" w:rsidRPr="00363736">
              <w:rPr>
                <w:b/>
              </w:rPr>
              <w:t>5</w:t>
            </w:r>
            <w:r w:rsidRPr="00363736">
              <w:rPr>
                <w:b/>
              </w:rPr>
              <w:t>. Impactul asupra mediului de afaceri</w:t>
            </w:r>
          </w:p>
          <w:p w14:paraId="3742A172" w14:textId="0686F79D" w:rsidR="00576CE9" w:rsidRPr="00363736" w:rsidRDefault="00576CE9" w:rsidP="00576CE9">
            <w:pPr>
              <w:autoSpaceDE w:val="0"/>
              <w:autoSpaceDN w:val="0"/>
              <w:adjustRightInd w:val="0"/>
              <w:spacing w:after="120" w:line="276" w:lineRule="auto"/>
            </w:pPr>
            <w:r w:rsidRPr="00363736">
              <w:rPr>
                <w:lang w:eastAsia="en-GB"/>
              </w:rPr>
              <w:lastRenderedPageBreak/>
              <w:t xml:space="preserve">Beneficiarii Finali vor fi, în principal, companii mari cu capitalizare medie și corporații mari, inclusiv, eventual, municipalități mici. </w:t>
            </w:r>
          </w:p>
          <w:p w14:paraId="101D0FAA" w14:textId="0D8EB857" w:rsidR="00576CE9" w:rsidRPr="00363736" w:rsidRDefault="00576CE9" w:rsidP="00576CE9">
            <w:pPr>
              <w:autoSpaceDE w:val="0"/>
              <w:autoSpaceDN w:val="0"/>
              <w:adjustRightInd w:val="0"/>
              <w:spacing w:after="120" w:line="276" w:lineRule="auto"/>
            </w:pPr>
            <w:r w:rsidRPr="00363736">
              <w:t>Pentru produsul garantat, FdF va oferi garanții nefinanțate susținute de resursele MRR unor Intermediari Financiari selectați, cu scopul de a asigura un acces mai bun la finanțare, de a îmbunătăți condițiile de finanțare, de a facilita noi împrumuturi de către Intermediarii Financiari pentru proiecte care, în absența garanției, ar fi putut fi prea riscante, și de a asigura un efect de levier ridicat pentru utilizarea fondurilor MRR.</w:t>
            </w:r>
          </w:p>
          <w:p w14:paraId="23CBB8DF" w14:textId="534F56C3" w:rsidR="00576CE9" w:rsidRPr="00363736" w:rsidRDefault="00576CE9" w:rsidP="00576CE9">
            <w:pPr>
              <w:autoSpaceDE w:val="0"/>
              <w:autoSpaceDN w:val="0"/>
              <w:adjustRightInd w:val="0"/>
              <w:spacing w:after="120" w:line="276" w:lineRule="auto"/>
            </w:pPr>
            <w:r w:rsidRPr="00363736">
              <w:t>În cazul produsului de garantare, acesta a fost conceput pentru a îmbunătăți accesul la finanțare și pentru a sprijini BEI în oferirea unor condiții de finanțare mai bune pentru Beneficiarii Finali</w:t>
            </w:r>
            <w:r w:rsidRPr="00363736">
              <w:rPr>
                <w:bCs/>
              </w:rPr>
              <w:t>.</w:t>
            </w:r>
          </w:p>
          <w:p w14:paraId="267BCBD1" w14:textId="6D373FC2" w:rsidR="00031D8D" w:rsidRPr="00363736" w:rsidRDefault="00031D8D" w:rsidP="00576CE9">
            <w:pPr>
              <w:spacing w:after="120"/>
              <w:jc w:val="both"/>
              <w:rPr>
                <w:b/>
              </w:rPr>
            </w:pPr>
          </w:p>
          <w:p w14:paraId="6BA44179" w14:textId="6BBF570F" w:rsidR="00FD3526" w:rsidRPr="00363736" w:rsidRDefault="00FD3526" w:rsidP="008838DB">
            <w:pPr>
              <w:spacing w:after="120"/>
              <w:jc w:val="both"/>
              <w:rPr>
                <w:b/>
              </w:rPr>
            </w:pPr>
            <w:r w:rsidRPr="00363736">
              <w:rPr>
                <w:b/>
              </w:rPr>
              <w:t>3.6 Impactul asupra mediului înconjurător</w:t>
            </w:r>
          </w:p>
          <w:p w14:paraId="04FEC990" w14:textId="7AE1F604" w:rsidR="00576CE9" w:rsidRPr="00363736" w:rsidRDefault="00576CE9" w:rsidP="008838DB">
            <w:pPr>
              <w:spacing w:after="120"/>
              <w:jc w:val="both"/>
            </w:pPr>
            <w:r w:rsidRPr="00363736">
              <w:t>Beneficiarii finali care urmează să fie finanțați și investițiile și/sau proiectele relevante respectă Principiul de A Nu Prejudicia în Mod Semnificativ, în sensul art. 17 din Regulamentul (UE) nr. 2020/852, de modificare a Regulamentului (UE) 2019/2088 și astfel cum este prevăzut în Orientările tehnice ale Comisiei privind aplicarea principiului de „a nu prejudicia în mod semnificativ” (2021/C58/01)</w:t>
            </w:r>
          </w:p>
          <w:p w14:paraId="55CFDA7E" w14:textId="4D45ACB0" w:rsidR="00FD3526" w:rsidRPr="00363736" w:rsidRDefault="00FD3526" w:rsidP="008838DB">
            <w:pPr>
              <w:spacing w:after="120"/>
              <w:jc w:val="both"/>
              <w:rPr>
                <w:b/>
                <w:bCs/>
              </w:rPr>
            </w:pPr>
            <w:r w:rsidRPr="00363736">
              <w:rPr>
                <w:b/>
                <w:bCs/>
              </w:rPr>
              <w:t>3.7. Evaluarea costurilor și beneficiilor din perspectiva inovării și digitalizării</w:t>
            </w:r>
          </w:p>
          <w:p w14:paraId="4590BA78" w14:textId="26336489" w:rsidR="00031D8D" w:rsidRPr="00363736" w:rsidRDefault="00576CE9" w:rsidP="008838DB">
            <w:pPr>
              <w:spacing w:after="120"/>
              <w:jc w:val="both"/>
              <w:rPr>
                <w:b/>
                <w:bCs/>
              </w:rPr>
            </w:pPr>
            <w:r w:rsidRPr="00363736">
              <w:t>FdF va avea ca obiectiv abordarea nevoilor de acces la finanțare ale beneficiarilor finali eligibili, în principal în sectoarele climei și digitalizării. Cel puțin 33 % din resursele alocate pentru FdF vor fi investite în activități de investiții legate de climă și 16 % în activități de investiții legate de digitalizare. Investițiile eligibile vor trebui să fie în concordanță cu tipurile de intervenții incluse în Anexele VI și VII la Regulamentul (UE) 2021/241 al Parlamentului European și al Consiliului din 12 februarie 2021, respectiv de instituire a Mecanism</w:t>
            </w:r>
            <w:r w:rsidR="00217FEA" w:rsidRPr="00363736">
              <w:t>ului de redresare și reziliență.</w:t>
            </w:r>
          </w:p>
          <w:p w14:paraId="3CFEFC6B" w14:textId="6B7012DE" w:rsidR="00FD3526" w:rsidRPr="00363736" w:rsidRDefault="00FD3526" w:rsidP="008838DB">
            <w:pPr>
              <w:spacing w:after="120"/>
              <w:jc w:val="both"/>
              <w:rPr>
                <w:b/>
                <w:bCs/>
              </w:rPr>
            </w:pPr>
            <w:r w:rsidRPr="00363736">
              <w:rPr>
                <w:b/>
                <w:bCs/>
              </w:rPr>
              <w:t>3.8 Evaluarea costurilor și beneficiilor din perspectiva dezvoltării durabile</w:t>
            </w:r>
          </w:p>
          <w:p w14:paraId="7481E2BB" w14:textId="77777777" w:rsidR="00217FEA" w:rsidRPr="00363736" w:rsidRDefault="00217FEA" w:rsidP="00217FEA">
            <w:pPr>
              <w:spacing w:after="120"/>
              <w:jc w:val="both"/>
              <w:rPr>
                <w:b/>
                <w:bCs/>
              </w:rPr>
            </w:pPr>
            <w:r w:rsidRPr="00363736">
              <w:t>FdF va avea ca obiectiv abordarea nevoilor de acces la finanțare ale beneficiarilor finali eligibili, în principal în sectoarele climei și digitalizării. Cel puțin 33 % din resursele alocate pentru FdF vor fi investite în activități de investiții legate de climă și 16 % în activități de investiții legate de digitalizare. Investițiile eligibile vor trebui să fie în concordanță cu tipurile de intervenții incluse în Anexele VI și VII la Regulamentul (UE) 2021/241 al Parlamentului European și al Consiliului din 12 februarie 2021, respectiv de instituire a Mecanismului de redresare și reziliență.</w:t>
            </w:r>
          </w:p>
          <w:p w14:paraId="59F9BACD" w14:textId="77777777" w:rsidR="00FD3526" w:rsidRPr="00363736" w:rsidRDefault="0046279C" w:rsidP="008F7D4B">
            <w:pPr>
              <w:spacing w:after="120"/>
              <w:jc w:val="both"/>
              <w:rPr>
                <w:b/>
                <w:bCs/>
              </w:rPr>
            </w:pPr>
            <w:r w:rsidRPr="00363736">
              <w:t xml:space="preserve">    </w:t>
            </w:r>
            <w:r w:rsidR="00FD3526" w:rsidRPr="00363736">
              <w:rPr>
                <w:b/>
                <w:bCs/>
              </w:rPr>
              <w:t>3.9. Alte informații</w:t>
            </w:r>
          </w:p>
          <w:p w14:paraId="041FB550" w14:textId="5C8025BC" w:rsidR="00217FEA" w:rsidRPr="00363736" w:rsidRDefault="00217FEA" w:rsidP="008F7D4B">
            <w:pPr>
              <w:spacing w:after="120"/>
              <w:jc w:val="both"/>
              <w:rPr>
                <w:b/>
                <w:bCs/>
              </w:rPr>
            </w:pPr>
            <w:r w:rsidRPr="00363736">
              <w:t>Nu au fost identificate.</w:t>
            </w:r>
          </w:p>
        </w:tc>
      </w:tr>
    </w:tbl>
    <w:p w14:paraId="20A2BC5C" w14:textId="77777777" w:rsidR="005A13C5" w:rsidRPr="00363736" w:rsidRDefault="00670C79" w:rsidP="008838DB">
      <w:pPr>
        <w:spacing w:after="120"/>
        <w:ind w:firstLine="720"/>
        <w:jc w:val="both"/>
        <w:rPr>
          <w:b/>
        </w:rPr>
      </w:pPr>
      <w:proofErr w:type="spellStart"/>
      <w:r w:rsidRPr="00363736">
        <w:rPr>
          <w:b/>
        </w:rPr>
        <w:lastRenderedPageBreak/>
        <w:t>Secţiunea</w:t>
      </w:r>
      <w:proofErr w:type="spellEnd"/>
      <w:r w:rsidRPr="00363736">
        <w:rPr>
          <w:b/>
        </w:rPr>
        <w:t xml:space="preserve"> a 4-a </w:t>
      </w:r>
    </w:p>
    <w:p w14:paraId="34AED0C5" w14:textId="5ABB9584" w:rsidR="00670C79" w:rsidRPr="00363736" w:rsidRDefault="00670C79" w:rsidP="008838DB">
      <w:pPr>
        <w:spacing w:after="120"/>
        <w:ind w:firstLine="720"/>
        <w:jc w:val="both"/>
        <w:rPr>
          <w:b/>
        </w:rPr>
      </w:pPr>
      <w:r w:rsidRPr="00363736">
        <w:rPr>
          <w:b/>
        </w:rPr>
        <w:t xml:space="preserve">Impactul financiar asupra bugetului </w:t>
      </w:r>
      <w:r w:rsidR="0064777F" w:rsidRPr="00363736">
        <w:rPr>
          <w:b/>
        </w:rPr>
        <w:t>general</w:t>
      </w:r>
      <w:r w:rsidRPr="00363736">
        <w:rPr>
          <w:b/>
        </w:rPr>
        <w:t xml:space="preserve"> consolidat atât pe termen scurt, pentru</w:t>
      </w:r>
      <w:r w:rsidR="00DB71DB" w:rsidRPr="00363736">
        <w:rPr>
          <w:b/>
        </w:rPr>
        <w:t xml:space="preserve"> </w:t>
      </w:r>
      <w:r w:rsidRPr="00363736">
        <w:rPr>
          <w:b/>
        </w:rPr>
        <w:t xml:space="preserve">anul curent, cât </w:t>
      </w:r>
      <w:proofErr w:type="spellStart"/>
      <w:r w:rsidRPr="00363736">
        <w:rPr>
          <w:b/>
        </w:rPr>
        <w:t>şi</w:t>
      </w:r>
      <w:proofErr w:type="spellEnd"/>
      <w:r w:rsidRPr="00363736">
        <w:rPr>
          <w:b/>
        </w:rPr>
        <w:t xml:space="preserve"> pe termen lung (pe 5 ani)</w:t>
      </w:r>
      <w:r w:rsidR="003034B1" w:rsidRPr="00363736">
        <w:rPr>
          <w:b/>
        </w:rPr>
        <w:t>, inclusiv informații cu privire la cheltuieli și venituri</w:t>
      </w:r>
      <w:r w:rsidR="0064777F" w:rsidRPr="00363736">
        <w:rPr>
          <w:b/>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058"/>
        <w:gridCol w:w="1366"/>
        <w:gridCol w:w="1466"/>
        <w:gridCol w:w="1366"/>
        <w:gridCol w:w="1135"/>
        <w:gridCol w:w="1448"/>
      </w:tblGrid>
      <w:tr w:rsidR="00363736" w:rsidRPr="00363736" w14:paraId="0C843357" w14:textId="77777777" w:rsidTr="0037486B">
        <w:tc>
          <w:tcPr>
            <w:tcW w:w="10533" w:type="dxa"/>
            <w:gridSpan w:val="7"/>
          </w:tcPr>
          <w:p w14:paraId="33061C9B" w14:textId="7824EB12" w:rsidR="009A76F9" w:rsidRPr="00363736" w:rsidRDefault="009A76F9" w:rsidP="008838DB">
            <w:pPr>
              <w:pStyle w:val="ListParagraph"/>
              <w:numPr>
                <w:ilvl w:val="0"/>
                <w:numId w:val="13"/>
              </w:numPr>
              <w:spacing w:after="120"/>
              <w:jc w:val="right"/>
              <w:rPr>
                <w:rFonts w:ascii="Times New Roman" w:hAnsi="Times New Roman" w:cs="Times New Roman"/>
              </w:rPr>
            </w:pPr>
            <w:r w:rsidRPr="00363736">
              <w:rPr>
                <w:rFonts w:ascii="Times New Roman" w:hAnsi="Times New Roman" w:cs="Times New Roman"/>
              </w:rPr>
              <w:t>În mii lei (RON)</w:t>
            </w:r>
          </w:p>
        </w:tc>
      </w:tr>
      <w:tr w:rsidR="00363736" w:rsidRPr="00363736" w14:paraId="57D824B3" w14:textId="77777777" w:rsidTr="005A13C5">
        <w:tc>
          <w:tcPr>
            <w:tcW w:w="2694" w:type="dxa"/>
          </w:tcPr>
          <w:p w14:paraId="318BEE35" w14:textId="77777777" w:rsidR="00670C79" w:rsidRPr="00363736" w:rsidRDefault="00670C79" w:rsidP="00363736">
            <w:pPr>
              <w:pStyle w:val="Heading2"/>
              <w:rPr>
                <w:sz w:val="24"/>
              </w:rPr>
            </w:pPr>
            <w:r w:rsidRPr="00363736">
              <w:rPr>
                <w:sz w:val="24"/>
              </w:rPr>
              <w:t>Indicatori</w:t>
            </w:r>
          </w:p>
        </w:tc>
        <w:tc>
          <w:tcPr>
            <w:tcW w:w="1058" w:type="dxa"/>
          </w:tcPr>
          <w:p w14:paraId="603E3C85" w14:textId="129C77CD" w:rsidR="00670C79" w:rsidRPr="00363736" w:rsidRDefault="00670C79" w:rsidP="00363736">
            <w:pPr>
              <w:jc w:val="center"/>
            </w:pPr>
            <w:r w:rsidRPr="00363736">
              <w:t>An</w:t>
            </w:r>
            <w:r w:rsidR="009A76F9" w:rsidRPr="00363736">
              <w:t>ul</w:t>
            </w:r>
            <w:r w:rsidRPr="00363736">
              <w:t xml:space="preserve"> curent</w:t>
            </w:r>
          </w:p>
        </w:tc>
        <w:tc>
          <w:tcPr>
            <w:tcW w:w="5333" w:type="dxa"/>
            <w:gridSpan w:val="4"/>
          </w:tcPr>
          <w:p w14:paraId="4EA4AF47" w14:textId="77777777" w:rsidR="00670C79" w:rsidRPr="00363736" w:rsidRDefault="00670C79" w:rsidP="00363736">
            <w:pPr>
              <w:jc w:val="center"/>
            </w:pPr>
            <w:r w:rsidRPr="00363736">
              <w:t>Următorii 4 ani</w:t>
            </w:r>
          </w:p>
        </w:tc>
        <w:tc>
          <w:tcPr>
            <w:tcW w:w="1448" w:type="dxa"/>
          </w:tcPr>
          <w:p w14:paraId="1EE52564" w14:textId="74A4CFA0" w:rsidR="00670C79" w:rsidRPr="00363736" w:rsidRDefault="00670C79" w:rsidP="00363736">
            <w:pPr>
              <w:jc w:val="center"/>
            </w:pPr>
            <w:r w:rsidRPr="00363736">
              <w:t xml:space="preserve">Media </w:t>
            </w:r>
            <w:r w:rsidR="009A76F9" w:rsidRPr="00363736">
              <w:t>pe</w:t>
            </w:r>
            <w:r w:rsidRPr="00363736">
              <w:t xml:space="preserve"> 5 ani</w:t>
            </w:r>
          </w:p>
        </w:tc>
      </w:tr>
      <w:tr w:rsidR="00363736" w:rsidRPr="00363736" w14:paraId="31AEB740" w14:textId="77777777" w:rsidTr="005A13C5">
        <w:tc>
          <w:tcPr>
            <w:tcW w:w="2694" w:type="dxa"/>
          </w:tcPr>
          <w:p w14:paraId="1A04C9C9" w14:textId="77777777" w:rsidR="00670C79" w:rsidRPr="00363736" w:rsidRDefault="00670C79" w:rsidP="00363736">
            <w:pPr>
              <w:jc w:val="center"/>
            </w:pPr>
            <w:r w:rsidRPr="00363736">
              <w:t>1</w:t>
            </w:r>
          </w:p>
        </w:tc>
        <w:tc>
          <w:tcPr>
            <w:tcW w:w="1058" w:type="dxa"/>
            <w:vAlign w:val="center"/>
          </w:tcPr>
          <w:p w14:paraId="44BDE6EE" w14:textId="77777777" w:rsidR="00670C79" w:rsidRPr="00363736" w:rsidRDefault="00670C79" w:rsidP="00363736">
            <w:pPr>
              <w:jc w:val="center"/>
            </w:pPr>
            <w:r w:rsidRPr="00363736">
              <w:t>2</w:t>
            </w:r>
          </w:p>
        </w:tc>
        <w:tc>
          <w:tcPr>
            <w:tcW w:w="1366" w:type="dxa"/>
            <w:vAlign w:val="center"/>
          </w:tcPr>
          <w:p w14:paraId="44511A2B" w14:textId="77777777" w:rsidR="00670C79" w:rsidRPr="00363736" w:rsidRDefault="00670C79" w:rsidP="00363736">
            <w:pPr>
              <w:jc w:val="center"/>
            </w:pPr>
            <w:r w:rsidRPr="00363736">
              <w:t>3</w:t>
            </w:r>
          </w:p>
        </w:tc>
        <w:tc>
          <w:tcPr>
            <w:tcW w:w="1466" w:type="dxa"/>
            <w:vAlign w:val="center"/>
          </w:tcPr>
          <w:p w14:paraId="7665B810" w14:textId="77777777" w:rsidR="00670C79" w:rsidRPr="00363736" w:rsidRDefault="00670C79" w:rsidP="00363736">
            <w:pPr>
              <w:jc w:val="center"/>
            </w:pPr>
            <w:r w:rsidRPr="00363736">
              <w:t>4</w:t>
            </w:r>
          </w:p>
        </w:tc>
        <w:tc>
          <w:tcPr>
            <w:tcW w:w="1366" w:type="dxa"/>
            <w:vAlign w:val="center"/>
          </w:tcPr>
          <w:p w14:paraId="375332DA" w14:textId="77777777" w:rsidR="00670C79" w:rsidRPr="00363736" w:rsidRDefault="00670C79" w:rsidP="00363736">
            <w:pPr>
              <w:jc w:val="center"/>
            </w:pPr>
            <w:r w:rsidRPr="00363736">
              <w:t>5</w:t>
            </w:r>
          </w:p>
        </w:tc>
        <w:tc>
          <w:tcPr>
            <w:tcW w:w="1135" w:type="dxa"/>
            <w:vAlign w:val="center"/>
          </w:tcPr>
          <w:p w14:paraId="0DD2A48C" w14:textId="77777777" w:rsidR="00670C79" w:rsidRPr="00363736" w:rsidRDefault="00670C79" w:rsidP="00363736">
            <w:pPr>
              <w:jc w:val="center"/>
            </w:pPr>
            <w:r w:rsidRPr="00363736">
              <w:t>6</w:t>
            </w:r>
          </w:p>
        </w:tc>
        <w:tc>
          <w:tcPr>
            <w:tcW w:w="1448" w:type="dxa"/>
            <w:vAlign w:val="center"/>
          </w:tcPr>
          <w:p w14:paraId="64FF500C" w14:textId="77777777" w:rsidR="00670C79" w:rsidRPr="00363736" w:rsidRDefault="00670C79" w:rsidP="00363736">
            <w:pPr>
              <w:jc w:val="center"/>
            </w:pPr>
            <w:r w:rsidRPr="00363736">
              <w:t>7</w:t>
            </w:r>
          </w:p>
        </w:tc>
      </w:tr>
      <w:tr w:rsidR="00363736" w:rsidRPr="00363736" w14:paraId="24F374CE" w14:textId="77777777" w:rsidTr="005A13C5">
        <w:tc>
          <w:tcPr>
            <w:tcW w:w="2694" w:type="dxa"/>
          </w:tcPr>
          <w:p w14:paraId="7075F3AB" w14:textId="3D2A3576" w:rsidR="0025682E" w:rsidRPr="00363736" w:rsidRDefault="00CD28D5" w:rsidP="00363736">
            <w:pPr>
              <w:jc w:val="both"/>
              <w:rPr>
                <w:b/>
                <w:bCs/>
              </w:rPr>
            </w:pPr>
            <w:r w:rsidRPr="00363736">
              <w:rPr>
                <w:b/>
                <w:bCs/>
              </w:rPr>
              <w:t>4.</w:t>
            </w:r>
            <w:r w:rsidR="00670C79" w:rsidRPr="00363736">
              <w:rPr>
                <w:b/>
                <w:bCs/>
              </w:rPr>
              <w:t>1.</w:t>
            </w:r>
            <w:r w:rsidRPr="00363736">
              <w:rPr>
                <w:b/>
                <w:bCs/>
              </w:rPr>
              <w:t xml:space="preserve"> </w:t>
            </w:r>
            <w:r w:rsidR="00670C79" w:rsidRPr="00363736">
              <w:rPr>
                <w:b/>
                <w:bCs/>
              </w:rPr>
              <w:t>Modificări ale veniturilor bugetare, plus/minus, din care:</w:t>
            </w:r>
          </w:p>
        </w:tc>
        <w:tc>
          <w:tcPr>
            <w:tcW w:w="1058" w:type="dxa"/>
          </w:tcPr>
          <w:p w14:paraId="7811CDB2" w14:textId="77777777" w:rsidR="00670C79" w:rsidRPr="00363736" w:rsidRDefault="00670C79" w:rsidP="00363736">
            <w:pPr>
              <w:pStyle w:val="BodyText2"/>
              <w:rPr>
                <w:sz w:val="24"/>
              </w:rPr>
            </w:pPr>
          </w:p>
        </w:tc>
        <w:tc>
          <w:tcPr>
            <w:tcW w:w="1366" w:type="dxa"/>
          </w:tcPr>
          <w:p w14:paraId="5E0D1921" w14:textId="77777777" w:rsidR="00670C79" w:rsidRPr="00363736" w:rsidRDefault="00670C79" w:rsidP="00363736">
            <w:pPr>
              <w:pStyle w:val="BodyText2"/>
              <w:rPr>
                <w:sz w:val="24"/>
              </w:rPr>
            </w:pPr>
          </w:p>
        </w:tc>
        <w:tc>
          <w:tcPr>
            <w:tcW w:w="1466" w:type="dxa"/>
          </w:tcPr>
          <w:p w14:paraId="3789DD62" w14:textId="77777777" w:rsidR="00670C79" w:rsidRPr="00363736" w:rsidRDefault="00670C79" w:rsidP="00363736">
            <w:pPr>
              <w:pStyle w:val="BodyText2"/>
              <w:rPr>
                <w:sz w:val="24"/>
              </w:rPr>
            </w:pPr>
          </w:p>
        </w:tc>
        <w:tc>
          <w:tcPr>
            <w:tcW w:w="1366" w:type="dxa"/>
          </w:tcPr>
          <w:p w14:paraId="3EFEBCA3" w14:textId="77777777" w:rsidR="00670C79" w:rsidRPr="00363736" w:rsidRDefault="00670C79" w:rsidP="00363736">
            <w:pPr>
              <w:pStyle w:val="BodyText2"/>
              <w:rPr>
                <w:sz w:val="24"/>
              </w:rPr>
            </w:pPr>
          </w:p>
        </w:tc>
        <w:tc>
          <w:tcPr>
            <w:tcW w:w="1135" w:type="dxa"/>
          </w:tcPr>
          <w:p w14:paraId="4D97905B" w14:textId="77777777" w:rsidR="00670C79" w:rsidRPr="00363736" w:rsidRDefault="00670C79" w:rsidP="00363736">
            <w:pPr>
              <w:pStyle w:val="BodyText2"/>
              <w:rPr>
                <w:sz w:val="24"/>
              </w:rPr>
            </w:pPr>
          </w:p>
        </w:tc>
        <w:tc>
          <w:tcPr>
            <w:tcW w:w="1448" w:type="dxa"/>
          </w:tcPr>
          <w:p w14:paraId="4A89D66A" w14:textId="77777777" w:rsidR="00670C79" w:rsidRPr="00363736" w:rsidRDefault="00670C79" w:rsidP="00363736">
            <w:pPr>
              <w:pStyle w:val="BodyText2"/>
              <w:rPr>
                <w:sz w:val="24"/>
              </w:rPr>
            </w:pPr>
          </w:p>
        </w:tc>
      </w:tr>
      <w:tr w:rsidR="00363736" w:rsidRPr="00363736" w14:paraId="7E845381" w14:textId="77777777" w:rsidTr="005A13C5">
        <w:tc>
          <w:tcPr>
            <w:tcW w:w="2694" w:type="dxa"/>
          </w:tcPr>
          <w:p w14:paraId="25792053" w14:textId="77777777" w:rsidR="003A367D" w:rsidRPr="00363736" w:rsidRDefault="003A367D" w:rsidP="00363736">
            <w:pPr>
              <w:jc w:val="both"/>
            </w:pPr>
            <w:r w:rsidRPr="00363736">
              <w:t>a) bugetul de stat, din acesta:</w:t>
            </w:r>
          </w:p>
          <w:p w14:paraId="32D9DBFB" w14:textId="15A036BA" w:rsidR="003A367D" w:rsidRPr="00363736" w:rsidRDefault="00CD28D5" w:rsidP="00363736">
            <w:pPr>
              <w:jc w:val="both"/>
            </w:pPr>
            <w:r w:rsidRPr="00363736">
              <w:lastRenderedPageBreak/>
              <w:t xml:space="preserve">(i) </w:t>
            </w:r>
            <w:r w:rsidR="003A367D" w:rsidRPr="00363736">
              <w:t>impozit pe profit</w:t>
            </w:r>
          </w:p>
          <w:p w14:paraId="67C4E169" w14:textId="0BD99910" w:rsidR="003A367D" w:rsidRPr="00363736" w:rsidRDefault="00CD28D5" w:rsidP="00363736">
            <w:pPr>
              <w:jc w:val="both"/>
            </w:pPr>
            <w:r w:rsidRPr="00363736">
              <w:t xml:space="preserve">(ii) </w:t>
            </w:r>
            <w:r w:rsidR="003A367D" w:rsidRPr="00363736">
              <w:t>impozit pe venit</w:t>
            </w:r>
          </w:p>
        </w:tc>
        <w:tc>
          <w:tcPr>
            <w:tcW w:w="1058" w:type="dxa"/>
          </w:tcPr>
          <w:p w14:paraId="07086A97" w14:textId="77777777" w:rsidR="003A367D" w:rsidRPr="00363736" w:rsidRDefault="003A367D" w:rsidP="00363736">
            <w:pPr>
              <w:pStyle w:val="BodyText2"/>
              <w:rPr>
                <w:sz w:val="24"/>
              </w:rPr>
            </w:pPr>
          </w:p>
        </w:tc>
        <w:tc>
          <w:tcPr>
            <w:tcW w:w="1366" w:type="dxa"/>
          </w:tcPr>
          <w:p w14:paraId="68EDD67B" w14:textId="77777777" w:rsidR="003A367D" w:rsidRPr="00363736" w:rsidRDefault="003A367D" w:rsidP="00363736">
            <w:pPr>
              <w:pStyle w:val="BodyText2"/>
              <w:rPr>
                <w:sz w:val="24"/>
              </w:rPr>
            </w:pPr>
          </w:p>
        </w:tc>
        <w:tc>
          <w:tcPr>
            <w:tcW w:w="1466" w:type="dxa"/>
          </w:tcPr>
          <w:p w14:paraId="074A0C4C" w14:textId="77777777" w:rsidR="003A367D" w:rsidRPr="00363736" w:rsidRDefault="003A367D" w:rsidP="00363736">
            <w:pPr>
              <w:pStyle w:val="BodyText2"/>
              <w:rPr>
                <w:sz w:val="24"/>
              </w:rPr>
            </w:pPr>
          </w:p>
        </w:tc>
        <w:tc>
          <w:tcPr>
            <w:tcW w:w="1366" w:type="dxa"/>
          </w:tcPr>
          <w:p w14:paraId="3EC66A65" w14:textId="77777777" w:rsidR="003A367D" w:rsidRPr="00363736" w:rsidRDefault="003A367D" w:rsidP="00363736">
            <w:pPr>
              <w:pStyle w:val="BodyText2"/>
              <w:rPr>
                <w:sz w:val="24"/>
              </w:rPr>
            </w:pPr>
          </w:p>
        </w:tc>
        <w:tc>
          <w:tcPr>
            <w:tcW w:w="1135" w:type="dxa"/>
          </w:tcPr>
          <w:p w14:paraId="5CEC73AA" w14:textId="77777777" w:rsidR="003A367D" w:rsidRPr="00363736" w:rsidRDefault="003A367D" w:rsidP="00363736">
            <w:pPr>
              <w:pStyle w:val="BodyText2"/>
              <w:rPr>
                <w:sz w:val="24"/>
              </w:rPr>
            </w:pPr>
          </w:p>
        </w:tc>
        <w:tc>
          <w:tcPr>
            <w:tcW w:w="1448" w:type="dxa"/>
          </w:tcPr>
          <w:p w14:paraId="761E2BD4" w14:textId="77777777" w:rsidR="003A367D" w:rsidRPr="00363736" w:rsidRDefault="003A367D" w:rsidP="00363736">
            <w:pPr>
              <w:pStyle w:val="BodyText2"/>
              <w:rPr>
                <w:sz w:val="24"/>
              </w:rPr>
            </w:pPr>
          </w:p>
        </w:tc>
      </w:tr>
      <w:tr w:rsidR="00363736" w:rsidRPr="00363736" w14:paraId="6771B99C" w14:textId="77777777" w:rsidTr="005A13C5">
        <w:tc>
          <w:tcPr>
            <w:tcW w:w="2694" w:type="dxa"/>
          </w:tcPr>
          <w:p w14:paraId="6A8A0E7F" w14:textId="577483D3" w:rsidR="003A367D" w:rsidRPr="00363736" w:rsidRDefault="003A367D" w:rsidP="00363736">
            <w:pPr>
              <w:jc w:val="both"/>
            </w:pPr>
            <w:r w:rsidRPr="00363736">
              <w:lastRenderedPageBreak/>
              <w:t>b) bugete locale:</w:t>
            </w:r>
          </w:p>
          <w:p w14:paraId="3B0FCECB" w14:textId="7AB36B1B" w:rsidR="003A367D" w:rsidRPr="00363736" w:rsidRDefault="00CD28D5" w:rsidP="00363736">
            <w:pPr>
              <w:jc w:val="both"/>
            </w:pPr>
            <w:r w:rsidRPr="00363736">
              <w:t xml:space="preserve">(i) </w:t>
            </w:r>
            <w:r w:rsidR="003A367D" w:rsidRPr="00363736">
              <w:t>impozit pe profit</w:t>
            </w:r>
          </w:p>
        </w:tc>
        <w:tc>
          <w:tcPr>
            <w:tcW w:w="1058" w:type="dxa"/>
          </w:tcPr>
          <w:p w14:paraId="687D0BEC" w14:textId="77777777" w:rsidR="003A367D" w:rsidRPr="00363736" w:rsidRDefault="003A367D" w:rsidP="00363736">
            <w:pPr>
              <w:pStyle w:val="BodyText2"/>
              <w:rPr>
                <w:sz w:val="24"/>
              </w:rPr>
            </w:pPr>
          </w:p>
        </w:tc>
        <w:tc>
          <w:tcPr>
            <w:tcW w:w="1366" w:type="dxa"/>
          </w:tcPr>
          <w:p w14:paraId="203F5632" w14:textId="77777777" w:rsidR="003A367D" w:rsidRPr="00363736" w:rsidRDefault="003A367D" w:rsidP="00363736">
            <w:pPr>
              <w:pStyle w:val="BodyText2"/>
              <w:rPr>
                <w:sz w:val="24"/>
              </w:rPr>
            </w:pPr>
          </w:p>
        </w:tc>
        <w:tc>
          <w:tcPr>
            <w:tcW w:w="1466" w:type="dxa"/>
          </w:tcPr>
          <w:p w14:paraId="38DA8080" w14:textId="77777777" w:rsidR="003A367D" w:rsidRPr="00363736" w:rsidRDefault="003A367D" w:rsidP="00363736">
            <w:pPr>
              <w:pStyle w:val="BodyText2"/>
              <w:rPr>
                <w:sz w:val="24"/>
              </w:rPr>
            </w:pPr>
          </w:p>
        </w:tc>
        <w:tc>
          <w:tcPr>
            <w:tcW w:w="1366" w:type="dxa"/>
          </w:tcPr>
          <w:p w14:paraId="31807B27" w14:textId="77777777" w:rsidR="003A367D" w:rsidRPr="00363736" w:rsidRDefault="003A367D" w:rsidP="00363736">
            <w:pPr>
              <w:pStyle w:val="BodyText2"/>
              <w:rPr>
                <w:sz w:val="24"/>
              </w:rPr>
            </w:pPr>
          </w:p>
        </w:tc>
        <w:tc>
          <w:tcPr>
            <w:tcW w:w="1135" w:type="dxa"/>
          </w:tcPr>
          <w:p w14:paraId="29015A0A" w14:textId="77777777" w:rsidR="003A367D" w:rsidRPr="00363736" w:rsidRDefault="003A367D" w:rsidP="00363736">
            <w:pPr>
              <w:pStyle w:val="BodyText2"/>
              <w:rPr>
                <w:sz w:val="24"/>
              </w:rPr>
            </w:pPr>
          </w:p>
        </w:tc>
        <w:tc>
          <w:tcPr>
            <w:tcW w:w="1448" w:type="dxa"/>
          </w:tcPr>
          <w:p w14:paraId="33E8076D" w14:textId="77777777" w:rsidR="003A367D" w:rsidRPr="00363736" w:rsidRDefault="003A367D" w:rsidP="00363736">
            <w:pPr>
              <w:pStyle w:val="BodyText2"/>
              <w:rPr>
                <w:sz w:val="24"/>
              </w:rPr>
            </w:pPr>
          </w:p>
        </w:tc>
      </w:tr>
      <w:tr w:rsidR="00363736" w:rsidRPr="00363736" w14:paraId="3ECF4DE7" w14:textId="77777777" w:rsidTr="005A13C5">
        <w:tc>
          <w:tcPr>
            <w:tcW w:w="2694" w:type="dxa"/>
          </w:tcPr>
          <w:p w14:paraId="454D76E8" w14:textId="401F8F98" w:rsidR="003A367D" w:rsidRPr="00363736" w:rsidRDefault="003A367D" w:rsidP="00363736">
            <w:pPr>
              <w:jc w:val="both"/>
            </w:pPr>
            <w:r w:rsidRPr="00363736">
              <w:t>c) bugetul asigurărilor sociale</w:t>
            </w:r>
            <w:r w:rsidR="00CD13F8" w:rsidRPr="00363736">
              <w:t xml:space="preserve"> de stat</w:t>
            </w:r>
          </w:p>
          <w:p w14:paraId="551EFD10" w14:textId="6A1DCE03" w:rsidR="003A367D" w:rsidRPr="00363736" w:rsidRDefault="00CD28D5" w:rsidP="00363736">
            <w:pPr>
              <w:jc w:val="both"/>
            </w:pPr>
            <w:r w:rsidRPr="00363736">
              <w:t xml:space="preserve">(i) </w:t>
            </w:r>
            <w:proofErr w:type="spellStart"/>
            <w:r w:rsidR="003A367D" w:rsidRPr="00363736">
              <w:t>contribuţii</w:t>
            </w:r>
            <w:proofErr w:type="spellEnd"/>
            <w:r w:rsidR="003A367D" w:rsidRPr="00363736">
              <w:t xml:space="preserve"> de asigurări</w:t>
            </w:r>
          </w:p>
        </w:tc>
        <w:tc>
          <w:tcPr>
            <w:tcW w:w="1058" w:type="dxa"/>
          </w:tcPr>
          <w:p w14:paraId="20DF36E4" w14:textId="77777777" w:rsidR="003A367D" w:rsidRPr="00363736" w:rsidRDefault="003A367D" w:rsidP="00363736">
            <w:pPr>
              <w:pStyle w:val="BodyText2"/>
              <w:rPr>
                <w:sz w:val="24"/>
              </w:rPr>
            </w:pPr>
          </w:p>
        </w:tc>
        <w:tc>
          <w:tcPr>
            <w:tcW w:w="1366" w:type="dxa"/>
          </w:tcPr>
          <w:p w14:paraId="2E4987C5" w14:textId="77777777" w:rsidR="003A367D" w:rsidRPr="00363736" w:rsidRDefault="003A367D" w:rsidP="00363736">
            <w:pPr>
              <w:pStyle w:val="BodyText2"/>
              <w:rPr>
                <w:sz w:val="24"/>
              </w:rPr>
            </w:pPr>
          </w:p>
        </w:tc>
        <w:tc>
          <w:tcPr>
            <w:tcW w:w="1466" w:type="dxa"/>
          </w:tcPr>
          <w:p w14:paraId="55EA5A38" w14:textId="77777777" w:rsidR="003A367D" w:rsidRPr="00363736" w:rsidRDefault="003A367D" w:rsidP="00363736">
            <w:pPr>
              <w:pStyle w:val="BodyText2"/>
              <w:rPr>
                <w:sz w:val="24"/>
              </w:rPr>
            </w:pPr>
          </w:p>
        </w:tc>
        <w:tc>
          <w:tcPr>
            <w:tcW w:w="1366" w:type="dxa"/>
          </w:tcPr>
          <w:p w14:paraId="1A940564" w14:textId="77777777" w:rsidR="003A367D" w:rsidRPr="00363736" w:rsidRDefault="003A367D" w:rsidP="00363736">
            <w:pPr>
              <w:pStyle w:val="BodyText2"/>
              <w:rPr>
                <w:sz w:val="24"/>
              </w:rPr>
            </w:pPr>
          </w:p>
        </w:tc>
        <w:tc>
          <w:tcPr>
            <w:tcW w:w="1135" w:type="dxa"/>
          </w:tcPr>
          <w:p w14:paraId="3B9F8826" w14:textId="77777777" w:rsidR="003A367D" w:rsidRPr="00363736" w:rsidRDefault="003A367D" w:rsidP="00363736">
            <w:pPr>
              <w:pStyle w:val="BodyText2"/>
              <w:rPr>
                <w:sz w:val="24"/>
              </w:rPr>
            </w:pPr>
          </w:p>
        </w:tc>
        <w:tc>
          <w:tcPr>
            <w:tcW w:w="1448" w:type="dxa"/>
          </w:tcPr>
          <w:p w14:paraId="7236E3D5" w14:textId="77777777" w:rsidR="003A367D" w:rsidRPr="00363736" w:rsidRDefault="003A367D" w:rsidP="00363736">
            <w:pPr>
              <w:pStyle w:val="BodyText2"/>
              <w:rPr>
                <w:sz w:val="24"/>
              </w:rPr>
            </w:pPr>
          </w:p>
        </w:tc>
      </w:tr>
      <w:tr w:rsidR="00363736" w:rsidRPr="00363736" w14:paraId="3B61ACE7" w14:textId="77777777" w:rsidTr="005A13C5">
        <w:tc>
          <w:tcPr>
            <w:tcW w:w="2694" w:type="dxa"/>
          </w:tcPr>
          <w:p w14:paraId="62FD1E56" w14:textId="77777777" w:rsidR="003A367D" w:rsidRPr="00363736" w:rsidRDefault="003A367D" w:rsidP="00363736">
            <w:pPr>
              <w:jc w:val="both"/>
            </w:pPr>
            <w:r w:rsidRPr="00363736">
              <w:t xml:space="preserve">d) </w:t>
            </w:r>
            <w:r w:rsidR="00A20D72" w:rsidRPr="00363736">
              <w:t>alte tipuri de venituri</w:t>
            </w:r>
          </w:p>
          <w:p w14:paraId="5EB8BD87" w14:textId="4527B335" w:rsidR="00A20D72" w:rsidRPr="00363736" w:rsidRDefault="00A20D72" w:rsidP="00363736">
            <w:pPr>
              <w:jc w:val="both"/>
            </w:pPr>
            <w:r w:rsidRPr="00363736">
              <w:t>(</w:t>
            </w:r>
            <w:r w:rsidR="00EF284D" w:rsidRPr="00363736">
              <w:t>S</w:t>
            </w:r>
            <w:r w:rsidRPr="00363736">
              <w:t>e va menționa natura acestora</w:t>
            </w:r>
            <w:r w:rsidR="00A82648" w:rsidRPr="00363736">
              <w:t>.</w:t>
            </w:r>
            <w:r w:rsidRPr="00363736">
              <w:t xml:space="preserve">) </w:t>
            </w:r>
          </w:p>
        </w:tc>
        <w:tc>
          <w:tcPr>
            <w:tcW w:w="1058" w:type="dxa"/>
          </w:tcPr>
          <w:p w14:paraId="704BCA51" w14:textId="77777777" w:rsidR="003A367D" w:rsidRPr="00363736" w:rsidRDefault="003A367D" w:rsidP="00363736">
            <w:pPr>
              <w:pStyle w:val="BodyText2"/>
              <w:rPr>
                <w:sz w:val="24"/>
              </w:rPr>
            </w:pPr>
          </w:p>
        </w:tc>
        <w:tc>
          <w:tcPr>
            <w:tcW w:w="1366" w:type="dxa"/>
          </w:tcPr>
          <w:p w14:paraId="269D834F" w14:textId="77777777" w:rsidR="003A367D" w:rsidRPr="00363736" w:rsidRDefault="003A367D" w:rsidP="00363736">
            <w:pPr>
              <w:pStyle w:val="BodyText2"/>
              <w:rPr>
                <w:sz w:val="24"/>
              </w:rPr>
            </w:pPr>
          </w:p>
        </w:tc>
        <w:tc>
          <w:tcPr>
            <w:tcW w:w="1466" w:type="dxa"/>
          </w:tcPr>
          <w:p w14:paraId="03C3272C" w14:textId="77777777" w:rsidR="003A367D" w:rsidRPr="00363736" w:rsidRDefault="003A367D" w:rsidP="00363736">
            <w:pPr>
              <w:pStyle w:val="BodyText2"/>
              <w:rPr>
                <w:sz w:val="24"/>
              </w:rPr>
            </w:pPr>
          </w:p>
        </w:tc>
        <w:tc>
          <w:tcPr>
            <w:tcW w:w="1366" w:type="dxa"/>
          </w:tcPr>
          <w:p w14:paraId="70C282AC" w14:textId="77777777" w:rsidR="003A367D" w:rsidRPr="00363736" w:rsidRDefault="003A367D" w:rsidP="00363736">
            <w:pPr>
              <w:pStyle w:val="BodyText2"/>
              <w:rPr>
                <w:sz w:val="24"/>
              </w:rPr>
            </w:pPr>
          </w:p>
        </w:tc>
        <w:tc>
          <w:tcPr>
            <w:tcW w:w="1135" w:type="dxa"/>
          </w:tcPr>
          <w:p w14:paraId="711BE975" w14:textId="77777777" w:rsidR="003A367D" w:rsidRPr="00363736" w:rsidRDefault="003A367D" w:rsidP="00363736">
            <w:pPr>
              <w:pStyle w:val="BodyText2"/>
              <w:rPr>
                <w:sz w:val="24"/>
              </w:rPr>
            </w:pPr>
          </w:p>
        </w:tc>
        <w:tc>
          <w:tcPr>
            <w:tcW w:w="1448" w:type="dxa"/>
          </w:tcPr>
          <w:p w14:paraId="56D819C6" w14:textId="77777777" w:rsidR="003A367D" w:rsidRPr="00363736" w:rsidRDefault="003A367D" w:rsidP="00363736">
            <w:pPr>
              <w:pStyle w:val="BodyText2"/>
              <w:rPr>
                <w:sz w:val="24"/>
              </w:rPr>
            </w:pPr>
          </w:p>
        </w:tc>
      </w:tr>
      <w:tr w:rsidR="00363736" w:rsidRPr="00363736" w14:paraId="126F1061" w14:textId="77777777" w:rsidTr="005A13C5">
        <w:tc>
          <w:tcPr>
            <w:tcW w:w="2694" w:type="dxa"/>
          </w:tcPr>
          <w:p w14:paraId="1415B230" w14:textId="72A3E85F" w:rsidR="0025682E" w:rsidRPr="00363736" w:rsidRDefault="00CD28D5" w:rsidP="00363736">
            <w:pPr>
              <w:jc w:val="both"/>
              <w:rPr>
                <w:b/>
                <w:bCs/>
              </w:rPr>
            </w:pPr>
            <w:r w:rsidRPr="00363736">
              <w:rPr>
                <w:b/>
                <w:bCs/>
              </w:rPr>
              <w:t>4.</w:t>
            </w:r>
            <w:r w:rsidR="00ED5D29" w:rsidRPr="00363736">
              <w:rPr>
                <w:b/>
                <w:bCs/>
              </w:rPr>
              <w:t>2.</w:t>
            </w:r>
            <w:r w:rsidRPr="00363736">
              <w:rPr>
                <w:b/>
                <w:bCs/>
              </w:rPr>
              <w:t xml:space="preserve"> </w:t>
            </w:r>
            <w:r w:rsidR="00ED5D29" w:rsidRPr="00363736">
              <w:rPr>
                <w:b/>
                <w:bCs/>
              </w:rPr>
              <w:t>Modificări ale cheltuielilor bugetare</w:t>
            </w:r>
            <w:r w:rsidR="00A82648" w:rsidRPr="00363736">
              <w:rPr>
                <w:b/>
                <w:bCs/>
              </w:rPr>
              <w:t>, plus/minus,</w:t>
            </w:r>
            <w:r w:rsidR="00ED5D29" w:rsidRPr="00363736">
              <w:rPr>
                <w:b/>
                <w:bCs/>
              </w:rPr>
              <w:t xml:space="preserve"> din care:</w:t>
            </w:r>
          </w:p>
        </w:tc>
        <w:tc>
          <w:tcPr>
            <w:tcW w:w="1058" w:type="dxa"/>
          </w:tcPr>
          <w:p w14:paraId="7BB1C451" w14:textId="3A3864A6" w:rsidR="00E62BA0" w:rsidRPr="00363736" w:rsidRDefault="00E62BA0" w:rsidP="00363736">
            <w:pPr>
              <w:jc w:val="center"/>
            </w:pPr>
          </w:p>
        </w:tc>
        <w:tc>
          <w:tcPr>
            <w:tcW w:w="1366" w:type="dxa"/>
          </w:tcPr>
          <w:p w14:paraId="44C5A3FF" w14:textId="75FE5CBB" w:rsidR="00E62BA0" w:rsidRPr="00363736" w:rsidRDefault="00E62BA0" w:rsidP="00363736">
            <w:pPr>
              <w:jc w:val="center"/>
            </w:pPr>
          </w:p>
        </w:tc>
        <w:tc>
          <w:tcPr>
            <w:tcW w:w="1466" w:type="dxa"/>
          </w:tcPr>
          <w:p w14:paraId="1702DFD2" w14:textId="6D9B32F2" w:rsidR="00E62BA0" w:rsidRPr="00363736" w:rsidRDefault="00E62BA0" w:rsidP="00363736">
            <w:pPr>
              <w:jc w:val="center"/>
            </w:pPr>
          </w:p>
        </w:tc>
        <w:tc>
          <w:tcPr>
            <w:tcW w:w="1366" w:type="dxa"/>
          </w:tcPr>
          <w:p w14:paraId="1D7B38D6" w14:textId="659DB0F9" w:rsidR="00E62BA0" w:rsidRPr="00363736" w:rsidRDefault="00E62BA0" w:rsidP="00363736">
            <w:pPr>
              <w:jc w:val="center"/>
            </w:pPr>
          </w:p>
        </w:tc>
        <w:tc>
          <w:tcPr>
            <w:tcW w:w="1135" w:type="dxa"/>
          </w:tcPr>
          <w:p w14:paraId="09F7CD9E" w14:textId="2AFA766B" w:rsidR="00E62BA0" w:rsidRPr="00363736" w:rsidRDefault="00E62BA0" w:rsidP="00363736">
            <w:pPr>
              <w:jc w:val="center"/>
            </w:pPr>
          </w:p>
        </w:tc>
        <w:tc>
          <w:tcPr>
            <w:tcW w:w="1448" w:type="dxa"/>
          </w:tcPr>
          <w:p w14:paraId="16493B27" w14:textId="191A8F5C" w:rsidR="00E62BA0" w:rsidRPr="00363736" w:rsidRDefault="00E62BA0" w:rsidP="00363736">
            <w:pPr>
              <w:jc w:val="center"/>
            </w:pPr>
          </w:p>
        </w:tc>
      </w:tr>
      <w:tr w:rsidR="00363736" w:rsidRPr="00363736" w14:paraId="408E6817" w14:textId="77777777" w:rsidTr="005A13C5">
        <w:tc>
          <w:tcPr>
            <w:tcW w:w="2694" w:type="dxa"/>
          </w:tcPr>
          <w:p w14:paraId="2D265B20" w14:textId="19563007" w:rsidR="00CD28D5" w:rsidRPr="00363736" w:rsidRDefault="00CD28D5" w:rsidP="00363736">
            <w:pPr>
              <w:jc w:val="both"/>
            </w:pPr>
            <w:r w:rsidRPr="00363736">
              <w:t>a) buget de stat, din acesta:</w:t>
            </w:r>
          </w:p>
          <w:p w14:paraId="3382ADB9" w14:textId="31517959" w:rsidR="00CD28D5" w:rsidRPr="00363736" w:rsidRDefault="00CD28D5" w:rsidP="00363736">
            <w:pPr>
              <w:jc w:val="both"/>
            </w:pPr>
            <w:r w:rsidRPr="00363736">
              <w:t>(i) cheltuieli de personal</w:t>
            </w:r>
          </w:p>
          <w:p w14:paraId="2AF2C20C" w14:textId="24F90ED4" w:rsidR="00CD28D5" w:rsidRPr="00363736" w:rsidRDefault="00CD28D5" w:rsidP="00363736">
            <w:pPr>
              <w:jc w:val="both"/>
            </w:pPr>
            <w:r w:rsidRPr="00363736">
              <w:t xml:space="preserve">(ii) bunuri </w:t>
            </w:r>
            <w:proofErr w:type="spellStart"/>
            <w:r w:rsidRPr="00363736">
              <w:t>şi</w:t>
            </w:r>
            <w:proofErr w:type="spellEnd"/>
            <w:r w:rsidRPr="00363736">
              <w:t xml:space="preserve"> servicii</w:t>
            </w:r>
          </w:p>
        </w:tc>
        <w:tc>
          <w:tcPr>
            <w:tcW w:w="1058" w:type="dxa"/>
          </w:tcPr>
          <w:p w14:paraId="3E0B1602" w14:textId="77777777" w:rsidR="00CD28D5" w:rsidRPr="00363736" w:rsidRDefault="00CD28D5" w:rsidP="00363736">
            <w:pPr>
              <w:jc w:val="center"/>
            </w:pPr>
          </w:p>
        </w:tc>
        <w:tc>
          <w:tcPr>
            <w:tcW w:w="1366" w:type="dxa"/>
          </w:tcPr>
          <w:p w14:paraId="4A5827CA" w14:textId="77777777" w:rsidR="00CD28D5" w:rsidRPr="00363736" w:rsidRDefault="00CD28D5" w:rsidP="00363736">
            <w:pPr>
              <w:jc w:val="center"/>
            </w:pPr>
          </w:p>
        </w:tc>
        <w:tc>
          <w:tcPr>
            <w:tcW w:w="1466" w:type="dxa"/>
          </w:tcPr>
          <w:p w14:paraId="32FB3ACA" w14:textId="77777777" w:rsidR="00CD28D5" w:rsidRPr="00363736" w:rsidRDefault="00CD28D5" w:rsidP="00363736">
            <w:pPr>
              <w:jc w:val="center"/>
            </w:pPr>
          </w:p>
        </w:tc>
        <w:tc>
          <w:tcPr>
            <w:tcW w:w="1366" w:type="dxa"/>
          </w:tcPr>
          <w:p w14:paraId="6B0B1905" w14:textId="77777777" w:rsidR="00CD28D5" w:rsidRPr="00363736" w:rsidRDefault="00CD28D5" w:rsidP="00363736">
            <w:pPr>
              <w:jc w:val="center"/>
            </w:pPr>
          </w:p>
        </w:tc>
        <w:tc>
          <w:tcPr>
            <w:tcW w:w="1135" w:type="dxa"/>
          </w:tcPr>
          <w:p w14:paraId="23CBB327" w14:textId="77777777" w:rsidR="00CD28D5" w:rsidRPr="00363736" w:rsidRDefault="00CD28D5" w:rsidP="00363736">
            <w:pPr>
              <w:jc w:val="center"/>
            </w:pPr>
          </w:p>
        </w:tc>
        <w:tc>
          <w:tcPr>
            <w:tcW w:w="1448" w:type="dxa"/>
          </w:tcPr>
          <w:p w14:paraId="58A4AD04" w14:textId="77777777" w:rsidR="00CD28D5" w:rsidRPr="00363736" w:rsidRDefault="00CD28D5" w:rsidP="00363736">
            <w:pPr>
              <w:jc w:val="center"/>
            </w:pPr>
          </w:p>
        </w:tc>
      </w:tr>
      <w:tr w:rsidR="00363736" w:rsidRPr="00363736" w14:paraId="247EA305" w14:textId="77777777" w:rsidTr="005A13C5">
        <w:tc>
          <w:tcPr>
            <w:tcW w:w="2694" w:type="dxa"/>
          </w:tcPr>
          <w:p w14:paraId="1413F8FD" w14:textId="15D4A2BF" w:rsidR="00CD28D5" w:rsidRPr="00363736" w:rsidRDefault="00CD28D5" w:rsidP="00363736">
            <w:pPr>
              <w:jc w:val="both"/>
            </w:pPr>
            <w:r w:rsidRPr="00363736">
              <w:t>b)</w:t>
            </w:r>
            <w:r w:rsidR="00CD13F8" w:rsidRPr="00363736">
              <w:t xml:space="preserve"> </w:t>
            </w:r>
            <w:r w:rsidRPr="00363736">
              <w:t>bugete locale:</w:t>
            </w:r>
          </w:p>
          <w:p w14:paraId="5D43B430" w14:textId="0375DEBE" w:rsidR="00CD28D5" w:rsidRPr="00363736" w:rsidRDefault="00CD28D5" w:rsidP="00363736">
            <w:pPr>
              <w:jc w:val="both"/>
            </w:pPr>
            <w:r w:rsidRPr="00363736">
              <w:t>(i) cheltuieli de personal</w:t>
            </w:r>
          </w:p>
          <w:p w14:paraId="5FAAC7DC" w14:textId="3646E615" w:rsidR="00CD28D5" w:rsidRPr="00363736" w:rsidRDefault="00CD28D5" w:rsidP="00363736">
            <w:pPr>
              <w:jc w:val="both"/>
            </w:pPr>
            <w:r w:rsidRPr="00363736">
              <w:t xml:space="preserve">(ii) bunuri </w:t>
            </w:r>
            <w:proofErr w:type="spellStart"/>
            <w:r w:rsidRPr="00363736">
              <w:t>şi</w:t>
            </w:r>
            <w:proofErr w:type="spellEnd"/>
            <w:r w:rsidRPr="00363736">
              <w:t xml:space="preserve"> servicii</w:t>
            </w:r>
          </w:p>
        </w:tc>
        <w:tc>
          <w:tcPr>
            <w:tcW w:w="1058" w:type="dxa"/>
          </w:tcPr>
          <w:p w14:paraId="35C2339D" w14:textId="77777777" w:rsidR="00CD28D5" w:rsidRPr="00363736" w:rsidRDefault="00CD28D5" w:rsidP="00363736">
            <w:pPr>
              <w:jc w:val="center"/>
            </w:pPr>
          </w:p>
        </w:tc>
        <w:tc>
          <w:tcPr>
            <w:tcW w:w="1366" w:type="dxa"/>
          </w:tcPr>
          <w:p w14:paraId="7642EF10" w14:textId="77777777" w:rsidR="00CD28D5" w:rsidRPr="00363736" w:rsidRDefault="00CD28D5" w:rsidP="00363736">
            <w:pPr>
              <w:jc w:val="center"/>
            </w:pPr>
          </w:p>
        </w:tc>
        <w:tc>
          <w:tcPr>
            <w:tcW w:w="1466" w:type="dxa"/>
          </w:tcPr>
          <w:p w14:paraId="00DA41A3" w14:textId="77777777" w:rsidR="00CD28D5" w:rsidRPr="00363736" w:rsidRDefault="00CD28D5" w:rsidP="00363736">
            <w:pPr>
              <w:jc w:val="center"/>
            </w:pPr>
          </w:p>
        </w:tc>
        <w:tc>
          <w:tcPr>
            <w:tcW w:w="1366" w:type="dxa"/>
          </w:tcPr>
          <w:p w14:paraId="5014B167" w14:textId="77777777" w:rsidR="00CD28D5" w:rsidRPr="00363736" w:rsidRDefault="00CD28D5" w:rsidP="00363736">
            <w:pPr>
              <w:jc w:val="center"/>
            </w:pPr>
          </w:p>
        </w:tc>
        <w:tc>
          <w:tcPr>
            <w:tcW w:w="1135" w:type="dxa"/>
          </w:tcPr>
          <w:p w14:paraId="44E6962F" w14:textId="77777777" w:rsidR="00CD28D5" w:rsidRPr="00363736" w:rsidRDefault="00CD28D5" w:rsidP="00363736">
            <w:pPr>
              <w:jc w:val="center"/>
            </w:pPr>
          </w:p>
        </w:tc>
        <w:tc>
          <w:tcPr>
            <w:tcW w:w="1448" w:type="dxa"/>
          </w:tcPr>
          <w:p w14:paraId="5D1C5F3E" w14:textId="77777777" w:rsidR="00CD28D5" w:rsidRPr="00363736" w:rsidRDefault="00CD28D5" w:rsidP="00363736">
            <w:pPr>
              <w:jc w:val="center"/>
            </w:pPr>
          </w:p>
        </w:tc>
      </w:tr>
      <w:tr w:rsidR="00363736" w:rsidRPr="00363736" w14:paraId="64A76806" w14:textId="77777777" w:rsidTr="005A13C5">
        <w:tc>
          <w:tcPr>
            <w:tcW w:w="2694" w:type="dxa"/>
          </w:tcPr>
          <w:p w14:paraId="30172BDF" w14:textId="0D2320D4" w:rsidR="00CD13F8" w:rsidRPr="00363736" w:rsidRDefault="00CD13F8" w:rsidP="00363736">
            <w:pPr>
              <w:jc w:val="both"/>
            </w:pPr>
            <w:r w:rsidRPr="00363736">
              <w:t>c) bugetul asigurărilor sociale de stat:</w:t>
            </w:r>
          </w:p>
          <w:p w14:paraId="03FADADD" w14:textId="1EB62078" w:rsidR="00CD13F8" w:rsidRPr="00363736" w:rsidRDefault="00CD13F8" w:rsidP="00363736">
            <w:pPr>
              <w:jc w:val="both"/>
            </w:pPr>
            <w:r w:rsidRPr="00363736">
              <w:t>(i) cheltuieli de personal</w:t>
            </w:r>
          </w:p>
          <w:p w14:paraId="55656529" w14:textId="757B5B4C" w:rsidR="00CD13F8" w:rsidRPr="00363736" w:rsidRDefault="00CD13F8" w:rsidP="00363736">
            <w:pPr>
              <w:jc w:val="both"/>
            </w:pPr>
            <w:r w:rsidRPr="00363736">
              <w:t xml:space="preserve">(ii) bunuri </w:t>
            </w:r>
            <w:proofErr w:type="spellStart"/>
            <w:r w:rsidRPr="00363736">
              <w:t>şi</w:t>
            </w:r>
            <w:proofErr w:type="spellEnd"/>
            <w:r w:rsidRPr="00363736">
              <w:t xml:space="preserve"> servicii</w:t>
            </w:r>
          </w:p>
        </w:tc>
        <w:tc>
          <w:tcPr>
            <w:tcW w:w="1058" w:type="dxa"/>
          </w:tcPr>
          <w:p w14:paraId="2DE6BAAD" w14:textId="77777777" w:rsidR="00CD13F8" w:rsidRPr="00363736" w:rsidRDefault="00CD13F8" w:rsidP="00363736">
            <w:pPr>
              <w:jc w:val="center"/>
            </w:pPr>
          </w:p>
        </w:tc>
        <w:tc>
          <w:tcPr>
            <w:tcW w:w="1366" w:type="dxa"/>
          </w:tcPr>
          <w:p w14:paraId="07943E17" w14:textId="77777777" w:rsidR="00CD13F8" w:rsidRPr="00363736" w:rsidRDefault="00CD13F8" w:rsidP="00363736">
            <w:pPr>
              <w:jc w:val="center"/>
            </w:pPr>
          </w:p>
        </w:tc>
        <w:tc>
          <w:tcPr>
            <w:tcW w:w="1466" w:type="dxa"/>
          </w:tcPr>
          <w:p w14:paraId="5D1EB785" w14:textId="77777777" w:rsidR="00CD13F8" w:rsidRPr="00363736" w:rsidRDefault="00CD13F8" w:rsidP="00363736">
            <w:pPr>
              <w:jc w:val="center"/>
            </w:pPr>
          </w:p>
        </w:tc>
        <w:tc>
          <w:tcPr>
            <w:tcW w:w="1366" w:type="dxa"/>
          </w:tcPr>
          <w:p w14:paraId="7E7347DF" w14:textId="77777777" w:rsidR="00CD13F8" w:rsidRPr="00363736" w:rsidRDefault="00CD13F8" w:rsidP="00363736">
            <w:pPr>
              <w:jc w:val="center"/>
            </w:pPr>
          </w:p>
        </w:tc>
        <w:tc>
          <w:tcPr>
            <w:tcW w:w="1135" w:type="dxa"/>
          </w:tcPr>
          <w:p w14:paraId="27993F0F" w14:textId="77777777" w:rsidR="00CD13F8" w:rsidRPr="00363736" w:rsidRDefault="00CD13F8" w:rsidP="00363736">
            <w:pPr>
              <w:jc w:val="center"/>
            </w:pPr>
          </w:p>
        </w:tc>
        <w:tc>
          <w:tcPr>
            <w:tcW w:w="1448" w:type="dxa"/>
          </w:tcPr>
          <w:p w14:paraId="3D14DE78" w14:textId="77777777" w:rsidR="00CD13F8" w:rsidRPr="00363736" w:rsidRDefault="00CD13F8" w:rsidP="00363736">
            <w:pPr>
              <w:jc w:val="center"/>
            </w:pPr>
          </w:p>
        </w:tc>
      </w:tr>
      <w:tr w:rsidR="00363736" w:rsidRPr="00363736" w14:paraId="5C3A403A" w14:textId="77777777" w:rsidTr="005A13C5">
        <w:tc>
          <w:tcPr>
            <w:tcW w:w="2694" w:type="dxa"/>
          </w:tcPr>
          <w:p w14:paraId="3BF8A849" w14:textId="176DF995" w:rsidR="00EF284D" w:rsidRPr="00363736" w:rsidRDefault="00EF284D" w:rsidP="00363736">
            <w:pPr>
              <w:jc w:val="both"/>
            </w:pPr>
            <w:r w:rsidRPr="00363736">
              <w:t xml:space="preserve">d) alte tipuri de </w:t>
            </w:r>
            <w:r w:rsidR="00A82648" w:rsidRPr="00363736">
              <w:t>cheltuieli</w:t>
            </w:r>
          </w:p>
          <w:p w14:paraId="359EE9C4" w14:textId="710C86CB" w:rsidR="00EF284D" w:rsidRPr="00363736" w:rsidRDefault="00EF284D" w:rsidP="00363736">
            <w:pPr>
              <w:jc w:val="both"/>
            </w:pPr>
            <w:r w:rsidRPr="00363736">
              <w:t>(Se va menționa natura acestora</w:t>
            </w:r>
            <w:r w:rsidR="00A82648" w:rsidRPr="00363736">
              <w:t>.</w:t>
            </w:r>
            <w:r w:rsidRPr="00363736">
              <w:t>)</w:t>
            </w:r>
          </w:p>
        </w:tc>
        <w:tc>
          <w:tcPr>
            <w:tcW w:w="1058" w:type="dxa"/>
          </w:tcPr>
          <w:p w14:paraId="2C7AC338" w14:textId="77777777" w:rsidR="00EF284D" w:rsidRPr="00363736" w:rsidRDefault="00EF284D" w:rsidP="00363736">
            <w:pPr>
              <w:jc w:val="center"/>
            </w:pPr>
          </w:p>
        </w:tc>
        <w:tc>
          <w:tcPr>
            <w:tcW w:w="1366" w:type="dxa"/>
          </w:tcPr>
          <w:p w14:paraId="7CA00BF7" w14:textId="77777777" w:rsidR="00EF284D" w:rsidRPr="00363736" w:rsidRDefault="00EF284D" w:rsidP="00363736">
            <w:pPr>
              <w:jc w:val="center"/>
            </w:pPr>
          </w:p>
        </w:tc>
        <w:tc>
          <w:tcPr>
            <w:tcW w:w="1466" w:type="dxa"/>
          </w:tcPr>
          <w:p w14:paraId="22F7EDA8" w14:textId="77777777" w:rsidR="00EF284D" w:rsidRPr="00363736" w:rsidRDefault="00EF284D" w:rsidP="00363736">
            <w:pPr>
              <w:jc w:val="center"/>
            </w:pPr>
          </w:p>
        </w:tc>
        <w:tc>
          <w:tcPr>
            <w:tcW w:w="1366" w:type="dxa"/>
          </w:tcPr>
          <w:p w14:paraId="1C65014D" w14:textId="77777777" w:rsidR="00EF284D" w:rsidRPr="00363736" w:rsidRDefault="00EF284D" w:rsidP="00363736">
            <w:pPr>
              <w:jc w:val="center"/>
            </w:pPr>
          </w:p>
        </w:tc>
        <w:tc>
          <w:tcPr>
            <w:tcW w:w="1135" w:type="dxa"/>
          </w:tcPr>
          <w:p w14:paraId="69EFB472" w14:textId="77777777" w:rsidR="00EF284D" w:rsidRPr="00363736" w:rsidRDefault="00EF284D" w:rsidP="00363736">
            <w:pPr>
              <w:jc w:val="center"/>
            </w:pPr>
          </w:p>
        </w:tc>
        <w:tc>
          <w:tcPr>
            <w:tcW w:w="1448" w:type="dxa"/>
          </w:tcPr>
          <w:p w14:paraId="2BEA7293" w14:textId="77777777" w:rsidR="00EF284D" w:rsidRPr="00363736" w:rsidRDefault="00EF284D" w:rsidP="00363736">
            <w:pPr>
              <w:jc w:val="center"/>
            </w:pPr>
          </w:p>
        </w:tc>
      </w:tr>
      <w:tr w:rsidR="00363736" w:rsidRPr="00363736" w14:paraId="6E9F3798" w14:textId="77777777" w:rsidTr="005A13C5">
        <w:tc>
          <w:tcPr>
            <w:tcW w:w="2694" w:type="dxa"/>
          </w:tcPr>
          <w:p w14:paraId="1C49C2EC" w14:textId="77777777" w:rsidR="00A75729" w:rsidRPr="00363736" w:rsidRDefault="00A75729" w:rsidP="00363736">
            <w:pPr>
              <w:jc w:val="both"/>
              <w:rPr>
                <w:b/>
                <w:bCs/>
              </w:rPr>
            </w:pPr>
            <w:r w:rsidRPr="00363736">
              <w:rPr>
                <w:b/>
                <w:bCs/>
              </w:rPr>
              <w:t>4.3. Impact financiar, plus/minus, din care:</w:t>
            </w:r>
          </w:p>
          <w:p w14:paraId="656BFCEC" w14:textId="54C7982C" w:rsidR="00A75729" w:rsidRPr="00363736" w:rsidRDefault="00A75729" w:rsidP="00363736">
            <w:pPr>
              <w:jc w:val="both"/>
            </w:pPr>
            <w:r w:rsidRPr="00363736">
              <w:t>a) buget de stat</w:t>
            </w:r>
          </w:p>
        </w:tc>
        <w:tc>
          <w:tcPr>
            <w:tcW w:w="1058" w:type="dxa"/>
          </w:tcPr>
          <w:p w14:paraId="7AD2D601" w14:textId="77777777" w:rsidR="00A75729" w:rsidRPr="00363736" w:rsidRDefault="00A75729" w:rsidP="00363736">
            <w:pPr>
              <w:jc w:val="center"/>
            </w:pPr>
          </w:p>
        </w:tc>
        <w:tc>
          <w:tcPr>
            <w:tcW w:w="1366" w:type="dxa"/>
          </w:tcPr>
          <w:p w14:paraId="0568D044" w14:textId="77777777" w:rsidR="00A75729" w:rsidRPr="00363736" w:rsidRDefault="00A75729" w:rsidP="00363736">
            <w:pPr>
              <w:jc w:val="center"/>
            </w:pPr>
          </w:p>
        </w:tc>
        <w:tc>
          <w:tcPr>
            <w:tcW w:w="1466" w:type="dxa"/>
          </w:tcPr>
          <w:p w14:paraId="210A6366" w14:textId="77777777" w:rsidR="00A75729" w:rsidRPr="00363736" w:rsidRDefault="00A75729" w:rsidP="00363736">
            <w:pPr>
              <w:jc w:val="center"/>
            </w:pPr>
          </w:p>
        </w:tc>
        <w:tc>
          <w:tcPr>
            <w:tcW w:w="1366" w:type="dxa"/>
          </w:tcPr>
          <w:p w14:paraId="2693F75B" w14:textId="77777777" w:rsidR="00A75729" w:rsidRPr="00363736" w:rsidRDefault="00A75729" w:rsidP="00363736">
            <w:pPr>
              <w:jc w:val="center"/>
            </w:pPr>
          </w:p>
        </w:tc>
        <w:tc>
          <w:tcPr>
            <w:tcW w:w="1135" w:type="dxa"/>
          </w:tcPr>
          <w:p w14:paraId="1585137C" w14:textId="77777777" w:rsidR="00A75729" w:rsidRPr="00363736" w:rsidRDefault="00A75729" w:rsidP="00363736">
            <w:pPr>
              <w:jc w:val="center"/>
            </w:pPr>
          </w:p>
        </w:tc>
        <w:tc>
          <w:tcPr>
            <w:tcW w:w="1448" w:type="dxa"/>
          </w:tcPr>
          <w:p w14:paraId="2D494315" w14:textId="77777777" w:rsidR="00A75729" w:rsidRPr="00363736" w:rsidRDefault="00A75729" w:rsidP="00363736">
            <w:pPr>
              <w:jc w:val="center"/>
            </w:pPr>
          </w:p>
        </w:tc>
      </w:tr>
      <w:tr w:rsidR="00363736" w:rsidRPr="00363736" w14:paraId="3177FEF7" w14:textId="77777777" w:rsidTr="005A13C5">
        <w:tc>
          <w:tcPr>
            <w:tcW w:w="2694" w:type="dxa"/>
          </w:tcPr>
          <w:p w14:paraId="33908C4A" w14:textId="118E34DE" w:rsidR="00A75729" w:rsidRPr="00363736" w:rsidRDefault="00A75729" w:rsidP="00363736">
            <w:pPr>
              <w:jc w:val="both"/>
            </w:pPr>
            <w:r w:rsidRPr="00363736">
              <w:t>b) bugete locale</w:t>
            </w:r>
          </w:p>
        </w:tc>
        <w:tc>
          <w:tcPr>
            <w:tcW w:w="1058" w:type="dxa"/>
          </w:tcPr>
          <w:p w14:paraId="4B62CC0C" w14:textId="77777777" w:rsidR="00A75729" w:rsidRPr="00363736" w:rsidRDefault="00A75729" w:rsidP="00363736">
            <w:pPr>
              <w:jc w:val="center"/>
            </w:pPr>
          </w:p>
        </w:tc>
        <w:tc>
          <w:tcPr>
            <w:tcW w:w="1366" w:type="dxa"/>
          </w:tcPr>
          <w:p w14:paraId="283AC80B" w14:textId="77777777" w:rsidR="00A75729" w:rsidRPr="00363736" w:rsidRDefault="00A75729" w:rsidP="00363736">
            <w:pPr>
              <w:jc w:val="center"/>
            </w:pPr>
          </w:p>
        </w:tc>
        <w:tc>
          <w:tcPr>
            <w:tcW w:w="1466" w:type="dxa"/>
          </w:tcPr>
          <w:p w14:paraId="7219261C" w14:textId="77777777" w:rsidR="00A75729" w:rsidRPr="00363736" w:rsidRDefault="00A75729" w:rsidP="00363736">
            <w:pPr>
              <w:jc w:val="center"/>
            </w:pPr>
          </w:p>
        </w:tc>
        <w:tc>
          <w:tcPr>
            <w:tcW w:w="1366" w:type="dxa"/>
          </w:tcPr>
          <w:p w14:paraId="49D7F163" w14:textId="77777777" w:rsidR="00A75729" w:rsidRPr="00363736" w:rsidRDefault="00A75729" w:rsidP="00363736">
            <w:pPr>
              <w:jc w:val="center"/>
            </w:pPr>
          </w:p>
        </w:tc>
        <w:tc>
          <w:tcPr>
            <w:tcW w:w="1135" w:type="dxa"/>
          </w:tcPr>
          <w:p w14:paraId="7C544E7C" w14:textId="77777777" w:rsidR="00A75729" w:rsidRPr="00363736" w:rsidRDefault="00A75729" w:rsidP="00363736">
            <w:pPr>
              <w:jc w:val="center"/>
            </w:pPr>
          </w:p>
        </w:tc>
        <w:tc>
          <w:tcPr>
            <w:tcW w:w="1448" w:type="dxa"/>
          </w:tcPr>
          <w:p w14:paraId="4953DDFD" w14:textId="77777777" w:rsidR="00A75729" w:rsidRPr="00363736" w:rsidRDefault="00A75729" w:rsidP="00363736">
            <w:pPr>
              <w:jc w:val="center"/>
            </w:pPr>
          </w:p>
        </w:tc>
      </w:tr>
      <w:tr w:rsidR="00363736" w:rsidRPr="00363736" w14:paraId="4B985901" w14:textId="77777777" w:rsidTr="005A13C5">
        <w:tc>
          <w:tcPr>
            <w:tcW w:w="2694" w:type="dxa"/>
          </w:tcPr>
          <w:p w14:paraId="41F94191" w14:textId="4D675AF2" w:rsidR="00A75729" w:rsidRPr="00363736" w:rsidRDefault="00A75729" w:rsidP="00363736">
            <w:pPr>
              <w:jc w:val="both"/>
              <w:rPr>
                <w:b/>
                <w:bCs/>
              </w:rPr>
            </w:pPr>
            <w:r w:rsidRPr="00363736">
              <w:rPr>
                <w:b/>
                <w:bCs/>
              </w:rPr>
              <w:t xml:space="preserve">4.4. Propuneri pentru acoperirea </w:t>
            </w:r>
            <w:proofErr w:type="spellStart"/>
            <w:r w:rsidRPr="00363736">
              <w:rPr>
                <w:b/>
                <w:bCs/>
              </w:rPr>
              <w:t>creşterii</w:t>
            </w:r>
            <w:proofErr w:type="spellEnd"/>
            <w:r w:rsidRPr="00363736">
              <w:rPr>
                <w:b/>
                <w:bCs/>
              </w:rPr>
              <w:t xml:space="preserve"> cheltuielilor bugetare</w:t>
            </w:r>
          </w:p>
        </w:tc>
        <w:tc>
          <w:tcPr>
            <w:tcW w:w="1058" w:type="dxa"/>
          </w:tcPr>
          <w:p w14:paraId="12553E7B" w14:textId="77777777" w:rsidR="00A75729" w:rsidRPr="00363736" w:rsidRDefault="00A75729" w:rsidP="00363736">
            <w:pPr>
              <w:jc w:val="center"/>
            </w:pPr>
          </w:p>
        </w:tc>
        <w:tc>
          <w:tcPr>
            <w:tcW w:w="1366" w:type="dxa"/>
          </w:tcPr>
          <w:p w14:paraId="6B4AB040" w14:textId="77777777" w:rsidR="00A75729" w:rsidRPr="00363736" w:rsidRDefault="00A75729" w:rsidP="00363736">
            <w:pPr>
              <w:jc w:val="center"/>
            </w:pPr>
          </w:p>
        </w:tc>
        <w:tc>
          <w:tcPr>
            <w:tcW w:w="1466" w:type="dxa"/>
          </w:tcPr>
          <w:p w14:paraId="2B58709A" w14:textId="77777777" w:rsidR="00A75729" w:rsidRPr="00363736" w:rsidRDefault="00A75729" w:rsidP="00363736">
            <w:pPr>
              <w:jc w:val="center"/>
            </w:pPr>
          </w:p>
        </w:tc>
        <w:tc>
          <w:tcPr>
            <w:tcW w:w="1366" w:type="dxa"/>
          </w:tcPr>
          <w:p w14:paraId="7AE48667" w14:textId="77777777" w:rsidR="00A75729" w:rsidRPr="00363736" w:rsidRDefault="00A75729" w:rsidP="00363736">
            <w:pPr>
              <w:jc w:val="center"/>
            </w:pPr>
          </w:p>
        </w:tc>
        <w:tc>
          <w:tcPr>
            <w:tcW w:w="1135" w:type="dxa"/>
          </w:tcPr>
          <w:p w14:paraId="2C05220B" w14:textId="77777777" w:rsidR="00A75729" w:rsidRPr="00363736" w:rsidRDefault="00A75729" w:rsidP="00363736">
            <w:pPr>
              <w:jc w:val="center"/>
            </w:pPr>
          </w:p>
        </w:tc>
        <w:tc>
          <w:tcPr>
            <w:tcW w:w="1448" w:type="dxa"/>
          </w:tcPr>
          <w:p w14:paraId="5BF7C6F4" w14:textId="77777777" w:rsidR="00A75729" w:rsidRPr="00363736" w:rsidRDefault="00A75729" w:rsidP="00363736">
            <w:pPr>
              <w:jc w:val="center"/>
            </w:pPr>
          </w:p>
        </w:tc>
      </w:tr>
      <w:tr w:rsidR="00363736" w:rsidRPr="00363736" w14:paraId="0936FEC1" w14:textId="77777777" w:rsidTr="005A13C5">
        <w:tc>
          <w:tcPr>
            <w:tcW w:w="2694" w:type="dxa"/>
          </w:tcPr>
          <w:p w14:paraId="31602873" w14:textId="19763228" w:rsidR="00A75729" w:rsidRPr="00363736" w:rsidRDefault="00A75729" w:rsidP="00363736">
            <w:pPr>
              <w:jc w:val="both"/>
              <w:rPr>
                <w:b/>
                <w:bCs/>
              </w:rPr>
            </w:pPr>
            <w:r w:rsidRPr="00363736">
              <w:rPr>
                <w:b/>
                <w:bCs/>
              </w:rPr>
              <w:t>4.5. Propuneri pentru a compensa reducerea veniturilor bugetare</w:t>
            </w:r>
          </w:p>
        </w:tc>
        <w:tc>
          <w:tcPr>
            <w:tcW w:w="1058" w:type="dxa"/>
          </w:tcPr>
          <w:p w14:paraId="50FCA196" w14:textId="77777777" w:rsidR="00A75729" w:rsidRPr="00363736" w:rsidRDefault="00A75729" w:rsidP="00363736">
            <w:pPr>
              <w:jc w:val="center"/>
            </w:pPr>
          </w:p>
        </w:tc>
        <w:tc>
          <w:tcPr>
            <w:tcW w:w="1366" w:type="dxa"/>
          </w:tcPr>
          <w:p w14:paraId="06CFE138" w14:textId="77777777" w:rsidR="00A75729" w:rsidRPr="00363736" w:rsidRDefault="00A75729" w:rsidP="00363736">
            <w:pPr>
              <w:jc w:val="center"/>
            </w:pPr>
          </w:p>
        </w:tc>
        <w:tc>
          <w:tcPr>
            <w:tcW w:w="1466" w:type="dxa"/>
          </w:tcPr>
          <w:p w14:paraId="6FFFE022" w14:textId="77777777" w:rsidR="00A75729" w:rsidRPr="00363736" w:rsidRDefault="00A75729" w:rsidP="00363736">
            <w:pPr>
              <w:jc w:val="center"/>
            </w:pPr>
          </w:p>
        </w:tc>
        <w:tc>
          <w:tcPr>
            <w:tcW w:w="1366" w:type="dxa"/>
          </w:tcPr>
          <w:p w14:paraId="46465A6F" w14:textId="77777777" w:rsidR="00A75729" w:rsidRPr="00363736" w:rsidRDefault="00A75729" w:rsidP="00363736">
            <w:pPr>
              <w:jc w:val="center"/>
            </w:pPr>
          </w:p>
        </w:tc>
        <w:tc>
          <w:tcPr>
            <w:tcW w:w="1135" w:type="dxa"/>
          </w:tcPr>
          <w:p w14:paraId="14082553" w14:textId="77777777" w:rsidR="00A75729" w:rsidRPr="00363736" w:rsidRDefault="00A75729" w:rsidP="00363736">
            <w:pPr>
              <w:jc w:val="center"/>
            </w:pPr>
          </w:p>
        </w:tc>
        <w:tc>
          <w:tcPr>
            <w:tcW w:w="1448" w:type="dxa"/>
          </w:tcPr>
          <w:p w14:paraId="178CA231" w14:textId="77777777" w:rsidR="00A75729" w:rsidRPr="00363736" w:rsidRDefault="00A75729" w:rsidP="00363736">
            <w:pPr>
              <w:jc w:val="center"/>
            </w:pPr>
          </w:p>
        </w:tc>
      </w:tr>
      <w:tr w:rsidR="00363736" w:rsidRPr="00363736" w14:paraId="153D0F09" w14:textId="77777777" w:rsidTr="005A13C5">
        <w:tc>
          <w:tcPr>
            <w:tcW w:w="2694" w:type="dxa"/>
          </w:tcPr>
          <w:p w14:paraId="4E7FCDBB" w14:textId="336B0E28" w:rsidR="00A75729" w:rsidRPr="00363736" w:rsidRDefault="00A75729" w:rsidP="00363736">
            <w:pPr>
              <w:jc w:val="both"/>
              <w:rPr>
                <w:b/>
                <w:bCs/>
              </w:rPr>
            </w:pPr>
            <w:r w:rsidRPr="00363736">
              <w:rPr>
                <w:b/>
                <w:bCs/>
              </w:rPr>
              <w:t xml:space="preserve">4.6. Calcule detaliate privind fundamentarea modificărilor  veniturilor </w:t>
            </w:r>
            <w:proofErr w:type="spellStart"/>
            <w:r w:rsidRPr="00363736">
              <w:rPr>
                <w:b/>
                <w:bCs/>
              </w:rPr>
              <w:t>şi</w:t>
            </w:r>
            <w:proofErr w:type="spellEnd"/>
            <w:r w:rsidRPr="00363736">
              <w:rPr>
                <w:b/>
                <w:bCs/>
              </w:rPr>
              <w:t>/sau cheltuielilor bugetare</w:t>
            </w:r>
          </w:p>
        </w:tc>
        <w:tc>
          <w:tcPr>
            <w:tcW w:w="1058" w:type="dxa"/>
          </w:tcPr>
          <w:p w14:paraId="18046DC1" w14:textId="77777777" w:rsidR="00A75729" w:rsidRPr="00363736" w:rsidRDefault="00A75729" w:rsidP="00363736">
            <w:pPr>
              <w:jc w:val="center"/>
            </w:pPr>
          </w:p>
        </w:tc>
        <w:tc>
          <w:tcPr>
            <w:tcW w:w="1366" w:type="dxa"/>
          </w:tcPr>
          <w:p w14:paraId="7CF35163" w14:textId="77777777" w:rsidR="00A75729" w:rsidRPr="00363736" w:rsidRDefault="00A75729" w:rsidP="00363736">
            <w:pPr>
              <w:jc w:val="center"/>
            </w:pPr>
          </w:p>
        </w:tc>
        <w:tc>
          <w:tcPr>
            <w:tcW w:w="1466" w:type="dxa"/>
          </w:tcPr>
          <w:p w14:paraId="1D863FB9" w14:textId="77777777" w:rsidR="00A75729" w:rsidRPr="00363736" w:rsidRDefault="00A75729" w:rsidP="00363736">
            <w:pPr>
              <w:jc w:val="center"/>
            </w:pPr>
          </w:p>
        </w:tc>
        <w:tc>
          <w:tcPr>
            <w:tcW w:w="1366" w:type="dxa"/>
          </w:tcPr>
          <w:p w14:paraId="42476051" w14:textId="77777777" w:rsidR="00A75729" w:rsidRPr="00363736" w:rsidRDefault="00A75729" w:rsidP="00363736">
            <w:pPr>
              <w:jc w:val="center"/>
            </w:pPr>
          </w:p>
        </w:tc>
        <w:tc>
          <w:tcPr>
            <w:tcW w:w="1135" w:type="dxa"/>
          </w:tcPr>
          <w:p w14:paraId="4746E189" w14:textId="77777777" w:rsidR="00A75729" w:rsidRPr="00363736" w:rsidRDefault="00A75729" w:rsidP="00363736">
            <w:pPr>
              <w:jc w:val="center"/>
            </w:pPr>
          </w:p>
        </w:tc>
        <w:tc>
          <w:tcPr>
            <w:tcW w:w="1448" w:type="dxa"/>
          </w:tcPr>
          <w:p w14:paraId="05472402" w14:textId="77777777" w:rsidR="00A75729" w:rsidRPr="00363736" w:rsidRDefault="00A75729" w:rsidP="00363736">
            <w:pPr>
              <w:jc w:val="center"/>
            </w:pPr>
          </w:p>
        </w:tc>
      </w:tr>
      <w:tr w:rsidR="00363736" w:rsidRPr="00363736" w14:paraId="260B3CE9" w14:textId="77777777" w:rsidTr="006A42CB">
        <w:tc>
          <w:tcPr>
            <w:tcW w:w="10533" w:type="dxa"/>
            <w:gridSpan w:val="7"/>
          </w:tcPr>
          <w:p w14:paraId="38A65360" w14:textId="7BB19CF9" w:rsidR="00A75729" w:rsidRPr="00363736" w:rsidRDefault="00A75729" w:rsidP="00363736">
            <w:pPr>
              <w:jc w:val="both"/>
              <w:rPr>
                <w:b/>
                <w:bCs/>
              </w:rPr>
            </w:pPr>
            <w:r w:rsidRPr="00363736">
              <w:rPr>
                <w:b/>
                <w:bCs/>
              </w:rPr>
              <w:t>4.7. Prezentarea, în cazul proiectelor de acte normative</w:t>
            </w:r>
            <w:r w:rsidR="00A60FAE" w:rsidRPr="00363736">
              <w:rPr>
                <w:b/>
                <w:bCs/>
              </w:rPr>
              <w:t xml:space="preserve"> a căror adaptare atrage majorarea cheltuielilor bugetare, a următoarelor documente:</w:t>
            </w:r>
          </w:p>
          <w:p w14:paraId="67DFFAEF" w14:textId="4AFFEADB" w:rsidR="00A60FAE" w:rsidRPr="00363736" w:rsidRDefault="00A60FAE" w:rsidP="00363736">
            <w:pPr>
              <w:jc w:val="both"/>
            </w:pPr>
            <w:r w:rsidRPr="00363736">
              <w:t>a) fișa financiară prevăzută la art. 15 din Legea nr. 500/2002 privind finanțele publice, cu modificările și completările ulterioare, însoțită de ipotezele și metodologia de calcul utilizată</w:t>
            </w:r>
            <w:r w:rsidR="00EA3D1B" w:rsidRPr="00363736">
              <w:t xml:space="preserve"> – prezentul proiect de act normativ nu se referă la acest subiect;</w:t>
            </w:r>
          </w:p>
          <w:p w14:paraId="699F79A9" w14:textId="5F08374F" w:rsidR="00A60FAE" w:rsidRPr="00363736" w:rsidRDefault="00A60FAE" w:rsidP="00363736">
            <w:pPr>
              <w:jc w:val="both"/>
            </w:pPr>
            <w:r w:rsidRPr="00363736">
              <w:t xml:space="preserve">b) declarație conform căreia majorarea de cheltuială respectivă este compatibilă cu obiectivele și prioritățile strategice specificate în strategia fiscal-bugetară, cu legea bugetară anuală și cu plafoanele </w:t>
            </w:r>
            <w:r w:rsidR="00A82648" w:rsidRPr="00363736">
              <w:t xml:space="preserve">de cheltuieli </w:t>
            </w:r>
            <w:r w:rsidRPr="00363736">
              <w:t>prezentate în strategia fiscal-bugetară</w:t>
            </w:r>
            <w:r w:rsidR="00EA3D1B" w:rsidRPr="00363736">
              <w:t xml:space="preserve"> - prezentul proiect de act normativ nu se referă la acest subiect</w:t>
            </w:r>
            <w:r w:rsidRPr="00363736">
              <w:t>.</w:t>
            </w:r>
          </w:p>
        </w:tc>
      </w:tr>
      <w:tr w:rsidR="00363736" w:rsidRPr="00363736" w14:paraId="675CE50B" w14:textId="77777777" w:rsidTr="00D72556">
        <w:tc>
          <w:tcPr>
            <w:tcW w:w="10533" w:type="dxa"/>
            <w:gridSpan w:val="7"/>
          </w:tcPr>
          <w:p w14:paraId="64B74EF4" w14:textId="78DB6F8A" w:rsidR="00B4537B" w:rsidRPr="00363736" w:rsidRDefault="00B4537B" w:rsidP="008838DB">
            <w:pPr>
              <w:spacing w:after="120"/>
              <w:rPr>
                <w:b/>
                <w:bCs/>
                <w:noProof/>
              </w:rPr>
            </w:pPr>
            <w:r w:rsidRPr="00363736">
              <w:rPr>
                <w:b/>
                <w:bCs/>
                <w:noProof/>
              </w:rPr>
              <w:lastRenderedPageBreak/>
              <w:t>4.8. Alte informații</w:t>
            </w:r>
          </w:p>
        </w:tc>
      </w:tr>
    </w:tbl>
    <w:p w14:paraId="777ED2E4" w14:textId="56E1A501" w:rsidR="00B4537B" w:rsidRPr="00363736" w:rsidRDefault="00670C79" w:rsidP="00363736">
      <w:pPr>
        <w:spacing w:after="120"/>
        <w:ind w:left="540"/>
        <w:jc w:val="both"/>
        <w:rPr>
          <w:b/>
        </w:rPr>
      </w:pPr>
      <w:r w:rsidRPr="00363736">
        <w:rPr>
          <w:b/>
        </w:rPr>
        <w:t xml:space="preserve">   </w:t>
      </w:r>
      <w:proofErr w:type="spellStart"/>
      <w:r w:rsidRPr="00363736">
        <w:rPr>
          <w:b/>
        </w:rPr>
        <w:t>Secţiunea</w:t>
      </w:r>
      <w:proofErr w:type="spellEnd"/>
      <w:r w:rsidRPr="00363736">
        <w:rPr>
          <w:b/>
        </w:rPr>
        <w:t xml:space="preserve"> a 5-a </w:t>
      </w:r>
    </w:p>
    <w:p w14:paraId="7E1BCAF6" w14:textId="576D5D21" w:rsidR="00670C79" w:rsidRPr="00363736" w:rsidRDefault="00670C79" w:rsidP="008838DB">
      <w:pPr>
        <w:spacing w:after="120"/>
        <w:ind w:firstLine="720"/>
        <w:jc w:val="both"/>
        <w:rPr>
          <w:b/>
        </w:rPr>
      </w:pPr>
      <w:r w:rsidRPr="00363736">
        <w:rPr>
          <w:b/>
        </w:rPr>
        <w:t xml:space="preserve">Efectele proiectului de act normativ asupra </w:t>
      </w:r>
      <w:proofErr w:type="spellStart"/>
      <w:r w:rsidRPr="00363736">
        <w:rPr>
          <w:b/>
        </w:rPr>
        <w:t>legislaţiei</w:t>
      </w:r>
      <w:proofErr w:type="spellEnd"/>
      <w:r w:rsidRPr="00363736">
        <w:rPr>
          <w:b/>
        </w:rPr>
        <w:t xml:space="preserve"> în vigoare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363736" w:rsidRPr="00363736" w14:paraId="327176B4" w14:textId="77777777" w:rsidTr="00B400EE">
        <w:trPr>
          <w:trHeight w:val="561"/>
        </w:trPr>
        <w:tc>
          <w:tcPr>
            <w:tcW w:w="10533" w:type="dxa"/>
          </w:tcPr>
          <w:p w14:paraId="4F9076D7" w14:textId="407D2D2C" w:rsidR="00973701" w:rsidRPr="00363736" w:rsidRDefault="00973701" w:rsidP="008838DB">
            <w:pPr>
              <w:spacing w:after="120"/>
              <w:jc w:val="both"/>
              <w:rPr>
                <w:b/>
                <w:bCs/>
              </w:rPr>
            </w:pPr>
            <w:r w:rsidRPr="00363736">
              <w:rPr>
                <w:b/>
                <w:bCs/>
              </w:rPr>
              <w:t>5.1. Măsuri normative necesare pentru aplicarea prevederilor proiectului de act normativ</w:t>
            </w:r>
          </w:p>
          <w:p w14:paraId="2F284BBD" w14:textId="77777777" w:rsidR="00217FEA" w:rsidRPr="00363736" w:rsidRDefault="00217FEA" w:rsidP="008838DB">
            <w:pPr>
              <w:tabs>
                <w:tab w:val="left" w:pos="201"/>
              </w:tabs>
              <w:spacing w:after="120"/>
              <w:jc w:val="both"/>
            </w:pPr>
            <w:r w:rsidRPr="00363736">
              <w:t>Prezentul act normativ nu se referă la acest subiect.</w:t>
            </w:r>
          </w:p>
          <w:p w14:paraId="79B335E6" w14:textId="3BA7CB20" w:rsidR="00973701" w:rsidRPr="00363736" w:rsidRDefault="00973701" w:rsidP="008838DB">
            <w:pPr>
              <w:tabs>
                <w:tab w:val="left" w:pos="201"/>
              </w:tabs>
              <w:spacing w:after="120"/>
              <w:jc w:val="both"/>
              <w:rPr>
                <w:b/>
                <w:bCs/>
              </w:rPr>
            </w:pPr>
            <w:r w:rsidRPr="00363736">
              <w:rPr>
                <w:b/>
                <w:bCs/>
              </w:rPr>
              <w:t>5.2. Impactul asupra legislației în domeniul achizițiilor publice</w:t>
            </w:r>
          </w:p>
          <w:p w14:paraId="71B5656A" w14:textId="77777777" w:rsidR="00217FEA" w:rsidRPr="00363736" w:rsidRDefault="00217FEA" w:rsidP="008838DB">
            <w:pPr>
              <w:tabs>
                <w:tab w:val="left" w:pos="201"/>
              </w:tabs>
              <w:spacing w:after="120"/>
              <w:jc w:val="both"/>
            </w:pPr>
            <w:r w:rsidRPr="00363736">
              <w:t>Prezentul act normativ nu se referă la acest subiect.</w:t>
            </w:r>
          </w:p>
          <w:p w14:paraId="3CE6B9A6" w14:textId="27292D23" w:rsidR="00973701" w:rsidRPr="00363736" w:rsidRDefault="00973701" w:rsidP="008838DB">
            <w:pPr>
              <w:tabs>
                <w:tab w:val="left" w:pos="201"/>
              </w:tabs>
              <w:spacing w:after="120"/>
              <w:jc w:val="both"/>
              <w:rPr>
                <w:b/>
                <w:bCs/>
              </w:rPr>
            </w:pPr>
            <w:r w:rsidRPr="00363736">
              <w:rPr>
                <w:b/>
                <w:bCs/>
              </w:rPr>
              <w:t xml:space="preserve">5.3. Conformitatea  proiectului de act normativ cu </w:t>
            </w:r>
            <w:proofErr w:type="spellStart"/>
            <w:r w:rsidRPr="00363736">
              <w:rPr>
                <w:b/>
                <w:bCs/>
              </w:rPr>
              <w:t>legislaţia</w:t>
            </w:r>
            <w:proofErr w:type="spellEnd"/>
            <w:r w:rsidRPr="00363736">
              <w:rPr>
                <w:b/>
                <w:bCs/>
              </w:rPr>
              <w:t xml:space="preserve"> UE (în cazul proiectelor ce transpun sau asigură aplicarea unor prevederi de drept UE)</w:t>
            </w:r>
          </w:p>
          <w:p w14:paraId="09158D06" w14:textId="7EEBFF96" w:rsidR="00973701" w:rsidRPr="00363736" w:rsidRDefault="00973701" w:rsidP="008838DB">
            <w:pPr>
              <w:tabs>
                <w:tab w:val="left" w:pos="201"/>
              </w:tabs>
              <w:spacing w:after="120"/>
              <w:jc w:val="both"/>
              <w:rPr>
                <w:b/>
                <w:bCs/>
              </w:rPr>
            </w:pPr>
            <w:r w:rsidRPr="00363736">
              <w:rPr>
                <w:b/>
                <w:bCs/>
              </w:rPr>
              <w:t>5.3.1. Măsuri normative necesare transpunerii directivelor UE</w:t>
            </w:r>
          </w:p>
          <w:p w14:paraId="51F001E8" w14:textId="29840236" w:rsidR="00217FEA" w:rsidRPr="00363736" w:rsidRDefault="00217FEA" w:rsidP="008838DB">
            <w:pPr>
              <w:tabs>
                <w:tab w:val="left" w:pos="201"/>
              </w:tabs>
              <w:spacing w:after="120"/>
              <w:jc w:val="both"/>
            </w:pPr>
            <w:r w:rsidRPr="00363736">
              <w:t>Prezentul act normativ nu se referă la acest subiect.</w:t>
            </w:r>
          </w:p>
          <w:p w14:paraId="185ED42C" w14:textId="77777777" w:rsidR="00217FEA" w:rsidRPr="00363736" w:rsidRDefault="00674D58" w:rsidP="008838DB">
            <w:pPr>
              <w:tabs>
                <w:tab w:val="left" w:pos="201"/>
              </w:tabs>
              <w:spacing w:after="120"/>
              <w:jc w:val="both"/>
              <w:rPr>
                <w:b/>
                <w:bCs/>
              </w:rPr>
            </w:pPr>
            <w:r w:rsidRPr="00363736">
              <w:rPr>
                <w:b/>
                <w:bCs/>
              </w:rPr>
              <w:t>5.3.2. Măsuri normative necesare aplicării actelor legislative UE</w:t>
            </w:r>
          </w:p>
          <w:p w14:paraId="31856465" w14:textId="45779A14" w:rsidR="00217FEA" w:rsidRPr="00363736" w:rsidRDefault="00217FEA" w:rsidP="008838DB">
            <w:pPr>
              <w:tabs>
                <w:tab w:val="left" w:pos="201"/>
              </w:tabs>
              <w:spacing w:after="120"/>
              <w:jc w:val="both"/>
              <w:rPr>
                <w:b/>
                <w:bCs/>
              </w:rPr>
            </w:pPr>
            <w:proofErr w:type="spellStart"/>
            <w:r w:rsidRPr="00363736">
              <w:rPr>
                <w:lang w:val="en-US"/>
              </w:rPr>
              <w:t>Prezentul</w:t>
            </w:r>
            <w:proofErr w:type="spellEnd"/>
            <w:r w:rsidRPr="00363736">
              <w:rPr>
                <w:lang w:val="en-US"/>
              </w:rPr>
              <w:t xml:space="preserve"> act </w:t>
            </w:r>
            <w:proofErr w:type="spellStart"/>
            <w:r w:rsidRPr="00363736">
              <w:rPr>
                <w:lang w:val="en-US"/>
              </w:rPr>
              <w:t>normativ</w:t>
            </w:r>
            <w:proofErr w:type="spellEnd"/>
            <w:r w:rsidRPr="00363736">
              <w:rPr>
                <w:lang w:val="en-US"/>
              </w:rPr>
              <w:t xml:space="preserve"> nu se </w:t>
            </w:r>
            <w:proofErr w:type="spellStart"/>
            <w:r w:rsidRPr="00363736">
              <w:rPr>
                <w:lang w:val="en-US"/>
              </w:rPr>
              <w:t>referă</w:t>
            </w:r>
            <w:proofErr w:type="spellEnd"/>
            <w:r w:rsidRPr="00363736">
              <w:rPr>
                <w:lang w:val="en-US"/>
              </w:rPr>
              <w:t xml:space="preserve"> la </w:t>
            </w:r>
            <w:proofErr w:type="spellStart"/>
            <w:r w:rsidRPr="00363736">
              <w:rPr>
                <w:lang w:val="en-US"/>
              </w:rPr>
              <w:t>acest</w:t>
            </w:r>
            <w:proofErr w:type="spellEnd"/>
            <w:r w:rsidRPr="00363736">
              <w:rPr>
                <w:lang w:val="en-US"/>
              </w:rPr>
              <w:t xml:space="preserve"> </w:t>
            </w:r>
            <w:proofErr w:type="spellStart"/>
            <w:r w:rsidRPr="00363736">
              <w:rPr>
                <w:lang w:val="en-US"/>
              </w:rPr>
              <w:t>subiect</w:t>
            </w:r>
            <w:proofErr w:type="spellEnd"/>
            <w:r w:rsidRPr="00363736">
              <w:rPr>
                <w:lang w:val="en-US"/>
              </w:rPr>
              <w:t>.</w:t>
            </w:r>
          </w:p>
          <w:p w14:paraId="7932A913" w14:textId="77777777" w:rsidR="00217FEA" w:rsidRPr="00363736" w:rsidRDefault="00674D58" w:rsidP="008838DB">
            <w:pPr>
              <w:tabs>
                <w:tab w:val="left" w:pos="201"/>
              </w:tabs>
              <w:spacing w:after="120"/>
              <w:jc w:val="both"/>
              <w:rPr>
                <w:b/>
                <w:bCs/>
              </w:rPr>
            </w:pPr>
            <w:r w:rsidRPr="00363736">
              <w:rPr>
                <w:b/>
                <w:bCs/>
              </w:rPr>
              <w:t xml:space="preserve">5.4. Hotărâri ale </w:t>
            </w:r>
            <w:proofErr w:type="spellStart"/>
            <w:r w:rsidRPr="00363736">
              <w:rPr>
                <w:b/>
                <w:bCs/>
              </w:rPr>
              <w:t>Curţii</w:t>
            </w:r>
            <w:proofErr w:type="spellEnd"/>
            <w:r w:rsidRPr="00363736">
              <w:rPr>
                <w:b/>
                <w:bCs/>
              </w:rPr>
              <w:t xml:space="preserve"> de </w:t>
            </w:r>
            <w:proofErr w:type="spellStart"/>
            <w:r w:rsidRPr="00363736">
              <w:rPr>
                <w:b/>
                <w:bCs/>
              </w:rPr>
              <w:t>Justiţie</w:t>
            </w:r>
            <w:proofErr w:type="spellEnd"/>
            <w:r w:rsidRPr="00363736">
              <w:rPr>
                <w:b/>
                <w:bCs/>
              </w:rPr>
              <w:t xml:space="preserve"> a Uniunii Europene</w:t>
            </w:r>
            <w:r w:rsidR="002623AD" w:rsidRPr="00363736">
              <w:rPr>
                <w:b/>
                <w:bCs/>
              </w:rPr>
              <w:t xml:space="preserve"> </w:t>
            </w:r>
          </w:p>
          <w:p w14:paraId="1292063A" w14:textId="2F660DF8" w:rsidR="002623AD" w:rsidRPr="00363736" w:rsidRDefault="00217FEA" w:rsidP="008838DB">
            <w:pPr>
              <w:tabs>
                <w:tab w:val="left" w:pos="201"/>
              </w:tabs>
              <w:spacing w:after="120"/>
              <w:jc w:val="both"/>
            </w:pPr>
            <w:r w:rsidRPr="00363736">
              <w:t>Prezentul act normativ nu se referă la acest subiect.</w:t>
            </w:r>
            <w:r w:rsidR="002623AD" w:rsidRPr="00363736">
              <w:t>.</w:t>
            </w:r>
          </w:p>
          <w:p w14:paraId="5468D61D" w14:textId="387A2321" w:rsidR="00674D58" w:rsidRPr="00363736" w:rsidRDefault="00674D58" w:rsidP="008838DB">
            <w:pPr>
              <w:tabs>
                <w:tab w:val="left" w:pos="201"/>
              </w:tabs>
              <w:spacing w:after="120"/>
              <w:jc w:val="both"/>
              <w:rPr>
                <w:b/>
                <w:bCs/>
              </w:rPr>
            </w:pPr>
            <w:r w:rsidRPr="00363736">
              <w:rPr>
                <w:b/>
                <w:bCs/>
              </w:rPr>
              <w:t xml:space="preserve">5.5. Alte acte normative </w:t>
            </w:r>
            <w:proofErr w:type="spellStart"/>
            <w:r w:rsidRPr="00363736">
              <w:rPr>
                <w:b/>
                <w:bCs/>
              </w:rPr>
              <w:t>şi</w:t>
            </w:r>
            <w:proofErr w:type="spellEnd"/>
            <w:r w:rsidRPr="00363736">
              <w:rPr>
                <w:b/>
                <w:bCs/>
              </w:rPr>
              <w:t xml:space="preserve">/sau documente </w:t>
            </w:r>
            <w:proofErr w:type="spellStart"/>
            <w:r w:rsidRPr="00363736">
              <w:rPr>
                <w:b/>
                <w:bCs/>
              </w:rPr>
              <w:t>internaţionale</w:t>
            </w:r>
            <w:proofErr w:type="spellEnd"/>
            <w:r w:rsidRPr="00363736">
              <w:rPr>
                <w:b/>
                <w:bCs/>
              </w:rPr>
              <w:t xml:space="preserve"> din care decurg angajamente asumate</w:t>
            </w:r>
            <w:r w:rsidR="002623AD" w:rsidRPr="00363736">
              <w:rPr>
                <w:b/>
                <w:bCs/>
              </w:rPr>
              <w:t xml:space="preserve"> </w:t>
            </w:r>
            <w:proofErr w:type="spellStart"/>
            <w:r w:rsidR="00217FEA" w:rsidRPr="00363736">
              <w:rPr>
                <w:lang w:val="en-US"/>
              </w:rPr>
              <w:t>Prezentul</w:t>
            </w:r>
            <w:proofErr w:type="spellEnd"/>
            <w:r w:rsidR="00217FEA" w:rsidRPr="00363736">
              <w:rPr>
                <w:lang w:val="en-US"/>
              </w:rPr>
              <w:t xml:space="preserve"> act </w:t>
            </w:r>
            <w:proofErr w:type="spellStart"/>
            <w:r w:rsidR="00217FEA" w:rsidRPr="00363736">
              <w:rPr>
                <w:lang w:val="en-US"/>
              </w:rPr>
              <w:t>normativ</w:t>
            </w:r>
            <w:proofErr w:type="spellEnd"/>
            <w:r w:rsidR="00217FEA" w:rsidRPr="00363736">
              <w:rPr>
                <w:lang w:val="en-US"/>
              </w:rPr>
              <w:t xml:space="preserve"> nu se </w:t>
            </w:r>
            <w:proofErr w:type="spellStart"/>
            <w:r w:rsidR="00217FEA" w:rsidRPr="00363736">
              <w:rPr>
                <w:lang w:val="en-US"/>
              </w:rPr>
              <w:t>referă</w:t>
            </w:r>
            <w:proofErr w:type="spellEnd"/>
            <w:r w:rsidR="00217FEA" w:rsidRPr="00363736">
              <w:rPr>
                <w:lang w:val="en-US"/>
              </w:rPr>
              <w:t xml:space="preserve"> la </w:t>
            </w:r>
            <w:proofErr w:type="spellStart"/>
            <w:r w:rsidR="00217FEA" w:rsidRPr="00363736">
              <w:rPr>
                <w:lang w:val="en-US"/>
              </w:rPr>
              <w:t>acest</w:t>
            </w:r>
            <w:proofErr w:type="spellEnd"/>
            <w:r w:rsidR="00217FEA" w:rsidRPr="00363736">
              <w:rPr>
                <w:lang w:val="en-US"/>
              </w:rPr>
              <w:t xml:space="preserve"> </w:t>
            </w:r>
            <w:proofErr w:type="spellStart"/>
            <w:r w:rsidR="00217FEA" w:rsidRPr="00363736">
              <w:rPr>
                <w:lang w:val="en-US"/>
              </w:rPr>
              <w:t>subiect</w:t>
            </w:r>
            <w:proofErr w:type="spellEnd"/>
            <w:r w:rsidR="00217FEA" w:rsidRPr="00363736">
              <w:rPr>
                <w:lang w:val="en-US"/>
              </w:rPr>
              <w:t>.</w:t>
            </w:r>
          </w:p>
          <w:p w14:paraId="7C430706" w14:textId="6182F59C" w:rsidR="00973701" w:rsidRPr="00363736" w:rsidRDefault="00674D58" w:rsidP="008838DB">
            <w:pPr>
              <w:tabs>
                <w:tab w:val="left" w:pos="201"/>
              </w:tabs>
              <w:spacing w:after="120"/>
              <w:jc w:val="both"/>
            </w:pPr>
            <w:r w:rsidRPr="00363736">
              <w:rPr>
                <w:b/>
                <w:bCs/>
              </w:rPr>
              <w:t>5.6. Alte informații</w:t>
            </w:r>
          </w:p>
        </w:tc>
      </w:tr>
    </w:tbl>
    <w:p w14:paraId="6F04DAD9" w14:textId="4855AC35" w:rsidR="00BB0782" w:rsidRPr="00363736" w:rsidRDefault="00DB715E" w:rsidP="00363736">
      <w:pPr>
        <w:spacing w:after="120"/>
        <w:ind w:left="540"/>
        <w:rPr>
          <w:b/>
        </w:rPr>
      </w:pPr>
      <w:r w:rsidRPr="00363736">
        <w:rPr>
          <w:b/>
        </w:rPr>
        <w:t xml:space="preserve">   </w:t>
      </w:r>
      <w:r w:rsidR="00BB0782" w:rsidRPr="00363736">
        <w:rPr>
          <w:b/>
        </w:rPr>
        <w:t>Secțiunea a 6-a</w:t>
      </w:r>
    </w:p>
    <w:p w14:paraId="4113E59E" w14:textId="59419D76" w:rsidR="00670C79" w:rsidRPr="00363736" w:rsidRDefault="00670C79" w:rsidP="008838DB">
      <w:pPr>
        <w:spacing w:after="120"/>
        <w:ind w:firstLine="720"/>
        <w:rPr>
          <w:b/>
        </w:rPr>
      </w:pPr>
      <w:r w:rsidRPr="00363736">
        <w:rPr>
          <w:b/>
        </w:rPr>
        <w:t>Consultările efectuate în vederea elaborării proiectului de act normativ</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363736" w:rsidRPr="00363736" w14:paraId="5EB7CDBC" w14:textId="77777777" w:rsidTr="00096014">
        <w:tc>
          <w:tcPr>
            <w:tcW w:w="10533" w:type="dxa"/>
          </w:tcPr>
          <w:p w14:paraId="598B642C" w14:textId="50A84CE9" w:rsidR="00770E01" w:rsidRPr="00363736" w:rsidRDefault="00770E01" w:rsidP="008838DB">
            <w:pPr>
              <w:spacing w:after="120"/>
              <w:jc w:val="both"/>
              <w:rPr>
                <w:b/>
                <w:bCs/>
              </w:rPr>
            </w:pPr>
            <w:r w:rsidRPr="00363736">
              <w:rPr>
                <w:b/>
                <w:bCs/>
              </w:rPr>
              <w:t>6.1. Informații privind neaplicarea procedurii de participare la elaborarea actelor normative</w:t>
            </w:r>
          </w:p>
          <w:p w14:paraId="27F70CB4" w14:textId="1C24D121" w:rsidR="0095573B" w:rsidRPr="00363736" w:rsidRDefault="0095573B" w:rsidP="0095573B">
            <w:pPr>
              <w:spacing w:after="120"/>
              <w:jc w:val="both"/>
            </w:pPr>
            <w:r w:rsidRPr="00363736">
              <w:t xml:space="preserve">Prezentul proiect de act normativ respectă prevederile art. 7 alin. (13) din Legea nr. 52/2003 privind transparența decizională în administrația publică, republicată, cu modificările ulterioare și a fost publicat în dezbatere publică pe pagina de internet a Ministerului Investițiilor și </w:t>
            </w:r>
            <w:r w:rsidR="007B051C">
              <w:t>Proiectelor Europene la data de 17.05</w:t>
            </w:r>
            <w:r w:rsidRPr="00363736">
              <w:t>.2022.</w:t>
            </w:r>
          </w:p>
          <w:p w14:paraId="02B38C09" w14:textId="3152A8EF" w:rsidR="0095573B" w:rsidRPr="00363736" w:rsidRDefault="0095573B" w:rsidP="0095573B">
            <w:pPr>
              <w:spacing w:after="120"/>
              <w:jc w:val="both"/>
              <w:rPr>
                <w:strike/>
              </w:rPr>
            </w:pPr>
            <w:r w:rsidRPr="00363736">
              <w:t xml:space="preserve">Perioada de dezbatere publică este motivată de faptul că bugetul de 300 milioane euro poate fi utilizat pe o perioadă relativ scurtă, iar instrumentul de finanțare trebuie să sprijine într-un timp cât mai scurt întreprinderile care sunt afectate de pandemia de </w:t>
            </w:r>
            <w:proofErr w:type="spellStart"/>
            <w:r w:rsidRPr="00363736">
              <w:t>Coronavirus</w:t>
            </w:r>
            <w:proofErr w:type="spellEnd"/>
            <w:r w:rsidR="00363736">
              <w:t>.</w:t>
            </w:r>
            <w:r w:rsidRPr="00363736">
              <w:t xml:space="preserve"> </w:t>
            </w:r>
          </w:p>
          <w:p w14:paraId="0498F935" w14:textId="324BBA88" w:rsidR="0095573B" w:rsidRPr="00363736" w:rsidRDefault="0095573B" w:rsidP="0095573B">
            <w:pPr>
              <w:spacing w:after="120"/>
              <w:jc w:val="both"/>
            </w:pPr>
            <w:r w:rsidRPr="00363736">
              <w:t>Mai mult decât atât, luând în considerare faptul că obiectivul acestui contract este și de a asigura un acces mai bun la finanțare, de a îmbunătăți condițiile de finanțare, de a facilita noi împrumuturi de către Intermediarii Financiari pentru proiecte care, în absența garanției, ar fi putut fi prea riscante, și de a asigura un efect de levier ridicat pentru utilizarea fondurilor MRR este important ca FdF să fie operațional în cea mai scurt timp.</w:t>
            </w:r>
          </w:p>
          <w:p w14:paraId="0B61431A" w14:textId="044D21FE" w:rsidR="00770E01" w:rsidRPr="00363736" w:rsidRDefault="00770E01" w:rsidP="008838DB">
            <w:pPr>
              <w:spacing w:after="120"/>
              <w:jc w:val="both"/>
              <w:rPr>
                <w:b/>
                <w:bCs/>
              </w:rPr>
            </w:pPr>
            <w:r w:rsidRPr="00363736">
              <w:rPr>
                <w:b/>
                <w:bCs/>
              </w:rPr>
              <w:t xml:space="preserve">6.2. </w:t>
            </w:r>
            <w:proofErr w:type="spellStart"/>
            <w:r w:rsidRPr="00363736">
              <w:rPr>
                <w:b/>
                <w:bCs/>
              </w:rPr>
              <w:t>Informaţii</w:t>
            </w:r>
            <w:proofErr w:type="spellEnd"/>
            <w:r w:rsidRPr="00363736">
              <w:rPr>
                <w:b/>
                <w:bCs/>
              </w:rPr>
              <w:t xml:space="preserve"> privind procesul de consultare cu </w:t>
            </w:r>
            <w:proofErr w:type="spellStart"/>
            <w:r w:rsidRPr="00363736">
              <w:rPr>
                <w:b/>
                <w:bCs/>
              </w:rPr>
              <w:t>organizaţii</w:t>
            </w:r>
            <w:proofErr w:type="spellEnd"/>
            <w:r w:rsidRPr="00363736">
              <w:rPr>
                <w:b/>
                <w:bCs/>
              </w:rPr>
              <w:t xml:space="preserve"> neguvernamentale, institute de cercetare </w:t>
            </w:r>
            <w:proofErr w:type="spellStart"/>
            <w:r w:rsidRPr="00363736">
              <w:rPr>
                <w:b/>
                <w:bCs/>
              </w:rPr>
              <w:t>şi</w:t>
            </w:r>
            <w:proofErr w:type="spellEnd"/>
            <w:r w:rsidRPr="00363736">
              <w:rPr>
                <w:b/>
                <w:bCs/>
              </w:rPr>
              <w:t xml:space="preserve"> alte organisme implicate</w:t>
            </w:r>
          </w:p>
          <w:p w14:paraId="3E23BAE6" w14:textId="44BF4521" w:rsidR="00217FEA" w:rsidRPr="00363736" w:rsidRDefault="00217FEA" w:rsidP="008838DB">
            <w:pPr>
              <w:spacing w:after="120"/>
              <w:jc w:val="both"/>
            </w:pPr>
            <w:r w:rsidRPr="00363736">
              <w:t>Prezentul act normativ nu se referă la acest subiect.</w:t>
            </w:r>
          </w:p>
          <w:p w14:paraId="2BABECC5" w14:textId="0627C0FF" w:rsidR="00926ABC" w:rsidRPr="00363736" w:rsidRDefault="00770E01" w:rsidP="008838DB">
            <w:pPr>
              <w:spacing w:after="120"/>
              <w:jc w:val="both"/>
              <w:rPr>
                <w:b/>
                <w:bCs/>
              </w:rPr>
            </w:pPr>
            <w:r w:rsidRPr="00363736">
              <w:rPr>
                <w:b/>
                <w:bCs/>
              </w:rPr>
              <w:t>6.3. Informații despre consultările organizate cu autoritățile administrației publice locale</w:t>
            </w:r>
          </w:p>
          <w:p w14:paraId="0307E630" w14:textId="77777777" w:rsidR="00217FEA" w:rsidRPr="00363736" w:rsidRDefault="00217FEA" w:rsidP="008838DB">
            <w:pPr>
              <w:spacing w:after="120"/>
              <w:jc w:val="both"/>
              <w:rPr>
                <w:lang w:val="en-US"/>
              </w:rPr>
            </w:pPr>
            <w:proofErr w:type="spellStart"/>
            <w:r w:rsidRPr="00363736">
              <w:rPr>
                <w:lang w:val="en-US"/>
              </w:rPr>
              <w:t>Prezentul</w:t>
            </w:r>
            <w:proofErr w:type="spellEnd"/>
            <w:r w:rsidRPr="00363736">
              <w:rPr>
                <w:lang w:val="en-US"/>
              </w:rPr>
              <w:t xml:space="preserve"> act </w:t>
            </w:r>
            <w:proofErr w:type="spellStart"/>
            <w:r w:rsidRPr="00363736">
              <w:rPr>
                <w:lang w:val="en-US"/>
              </w:rPr>
              <w:t>normativ</w:t>
            </w:r>
            <w:proofErr w:type="spellEnd"/>
            <w:r w:rsidRPr="00363736">
              <w:rPr>
                <w:lang w:val="en-US"/>
              </w:rPr>
              <w:t xml:space="preserve"> nu se </w:t>
            </w:r>
            <w:proofErr w:type="spellStart"/>
            <w:r w:rsidRPr="00363736">
              <w:rPr>
                <w:lang w:val="en-US"/>
              </w:rPr>
              <w:t>referă</w:t>
            </w:r>
            <w:proofErr w:type="spellEnd"/>
            <w:r w:rsidRPr="00363736">
              <w:rPr>
                <w:lang w:val="en-US"/>
              </w:rPr>
              <w:t xml:space="preserve"> la </w:t>
            </w:r>
            <w:proofErr w:type="spellStart"/>
            <w:r w:rsidRPr="00363736">
              <w:rPr>
                <w:lang w:val="en-US"/>
              </w:rPr>
              <w:t>acest</w:t>
            </w:r>
            <w:proofErr w:type="spellEnd"/>
            <w:r w:rsidRPr="00363736">
              <w:rPr>
                <w:lang w:val="en-US"/>
              </w:rPr>
              <w:t xml:space="preserve"> </w:t>
            </w:r>
            <w:proofErr w:type="spellStart"/>
            <w:r w:rsidRPr="00363736">
              <w:rPr>
                <w:lang w:val="en-US"/>
              </w:rPr>
              <w:t>subiect</w:t>
            </w:r>
            <w:proofErr w:type="spellEnd"/>
            <w:r w:rsidRPr="00363736">
              <w:rPr>
                <w:lang w:val="en-US"/>
              </w:rPr>
              <w:t>.</w:t>
            </w:r>
          </w:p>
          <w:p w14:paraId="53F02791" w14:textId="30568A64" w:rsidR="00770E01" w:rsidRPr="00363736" w:rsidRDefault="00770E01" w:rsidP="008838DB">
            <w:pPr>
              <w:spacing w:after="120"/>
              <w:jc w:val="both"/>
              <w:rPr>
                <w:b/>
                <w:bCs/>
              </w:rPr>
            </w:pPr>
            <w:r w:rsidRPr="00363736">
              <w:rPr>
                <w:b/>
                <w:bCs/>
              </w:rPr>
              <w:lastRenderedPageBreak/>
              <w:t xml:space="preserve">6.4. Informații privind puncte de vedere/opinii emise de organisme </w:t>
            </w:r>
            <w:proofErr w:type="spellStart"/>
            <w:r w:rsidRPr="00363736">
              <w:rPr>
                <w:b/>
                <w:bCs/>
              </w:rPr>
              <w:t>consulative</w:t>
            </w:r>
            <w:proofErr w:type="spellEnd"/>
            <w:r w:rsidRPr="00363736">
              <w:rPr>
                <w:b/>
                <w:bCs/>
              </w:rPr>
              <w:t xml:space="preserve"> constituite prin acte normative</w:t>
            </w:r>
          </w:p>
          <w:p w14:paraId="0F951A89" w14:textId="77777777" w:rsidR="00217FEA" w:rsidRPr="00363736" w:rsidRDefault="00217FEA" w:rsidP="008838DB">
            <w:pPr>
              <w:spacing w:after="120"/>
              <w:jc w:val="both"/>
            </w:pPr>
            <w:r w:rsidRPr="00363736">
              <w:t>Prezentul act normativ nu se referă la acest subiect.</w:t>
            </w:r>
          </w:p>
          <w:p w14:paraId="0FF572CC" w14:textId="555A9864" w:rsidR="00770E01" w:rsidRPr="00363736" w:rsidRDefault="00770E01" w:rsidP="008838DB">
            <w:pPr>
              <w:spacing w:after="120"/>
              <w:jc w:val="both"/>
              <w:rPr>
                <w:b/>
                <w:bCs/>
              </w:rPr>
            </w:pPr>
            <w:r w:rsidRPr="00363736">
              <w:rPr>
                <w:b/>
                <w:bCs/>
              </w:rPr>
              <w:t>6.5</w:t>
            </w:r>
            <w:r w:rsidR="004555DD" w:rsidRPr="00363736">
              <w:rPr>
                <w:b/>
                <w:bCs/>
              </w:rPr>
              <w:t>.</w:t>
            </w:r>
            <w:r w:rsidRPr="00363736">
              <w:rPr>
                <w:b/>
                <w:bCs/>
              </w:rPr>
              <w:t xml:space="preserve"> Informații privind avizarea de către:</w:t>
            </w:r>
          </w:p>
          <w:p w14:paraId="3DD2ED4C" w14:textId="10084D4E" w:rsidR="00770E01" w:rsidRPr="00363736" w:rsidRDefault="00770E01" w:rsidP="008838DB">
            <w:pPr>
              <w:spacing w:after="120"/>
              <w:jc w:val="both"/>
            </w:pPr>
            <w:r w:rsidRPr="00363736">
              <w:t xml:space="preserve">a) Consiliul </w:t>
            </w:r>
            <w:r w:rsidR="008F6907" w:rsidRPr="00363736">
              <w:t>L</w:t>
            </w:r>
            <w:r w:rsidRPr="00363736">
              <w:t>egislativ</w:t>
            </w:r>
            <w:r w:rsidR="00217FEA" w:rsidRPr="00363736">
              <w:t>: Prezentul proiect de act normativ este supus avizării Consiliului Legislativ.</w:t>
            </w:r>
          </w:p>
          <w:p w14:paraId="5FE65553" w14:textId="15D2A101" w:rsidR="00770E01" w:rsidRPr="00363736" w:rsidRDefault="00770E01" w:rsidP="008838DB">
            <w:pPr>
              <w:spacing w:after="120"/>
              <w:jc w:val="both"/>
            </w:pPr>
            <w:r w:rsidRPr="00363736">
              <w:t>b)</w:t>
            </w:r>
            <w:r w:rsidR="00456611" w:rsidRPr="00363736">
              <w:t xml:space="preserve"> </w:t>
            </w:r>
            <w:r w:rsidRPr="00363736">
              <w:t xml:space="preserve">Consiliul Suprem de Apărare a </w:t>
            </w:r>
            <w:proofErr w:type="spellStart"/>
            <w:r w:rsidRPr="00363736">
              <w:t>Ţării</w:t>
            </w:r>
            <w:proofErr w:type="spellEnd"/>
          </w:p>
          <w:p w14:paraId="22642D64" w14:textId="4C777137" w:rsidR="00770E01" w:rsidRPr="00363736" w:rsidRDefault="00770E01" w:rsidP="008838DB">
            <w:pPr>
              <w:spacing w:after="120"/>
              <w:jc w:val="both"/>
            </w:pPr>
            <w:r w:rsidRPr="00363736">
              <w:t>c)</w:t>
            </w:r>
            <w:r w:rsidR="00456611" w:rsidRPr="00363736">
              <w:t xml:space="preserve"> </w:t>
            </w:r>
            <w:r w:rsidRPr="00363736">
              <w:t xml:space="preserve">Consiliul Economic </w:t>
            </w:r>
            <w:proofErr w:type="spellStart"/>
            <w:r w:rsidRPr="00363736">
              <w:t>şi</w:t>
            </w:r>
            <w:proofErr w:type="spellEnd"/>
            <w:r w:rsidRPr="00363736">
              <w:t xml:space="preserve"> Social</w:t>
            </w:r>
          </w:p>
          <w:p w14:paraId="782E1FCE" w14:textId="1D3F1A42" w:rsidR="00770E01" w:rsidRPr="00363736" w:rsidRDefault="00770E01" w:rsidP="008838DB">
            <w:pPr>
              <w:spacing w:after="120"/>
              <w:jc w:val="both"/>
            </w:pPr>
            <w:r w:rsidRPr="00363736">
              <w:t>d)</w:t>
            </w:r>
            <w:r w:rsidR="00456611" w:rsidRPr="00363736">
              <w:t xml:space="preserve"> </w:t>
            </w:r>
            <w:r w:rsidRPr="00363736">
              <w:t xml:space="preserve">Consiliul </w:t>
            </w:r>
            <w:proofErr w:type="spellStart"/>
            <w:r w:rsidRPr="00363736">
              <w:t>Concurenţei</w:t>
            </w:r>
            <w:proofErr w:type="spellEnd"/>
            <w:r w:rsidRPr="00363736">
              <w:t xml:space="preserve"> </w:t>
            </w:r>
          </w:p>
          <w:p w14:paraId="7E62C2BF" w14:textId="18DF1033" w:rsidR="00770E01" w:rsidRPr="00363736" w:rsidRDefault="00770E01" w:rsidP="008838DB">
            <w:pPr>
              <w:spacing w:after="120"/>
              <w:jc w:val="both"/>
            </w:pPr>
            <w:r w:rsidRPr="00363736">
              <w:t>e)</w:t>
            </w:r>
            <w:r w:rsidR="00456611" w:rsidRPr="00363736">
              <w:t xml:space="preserve"> </w:t>
            </w:r>
            <w:r w:rsidRPr="00363736">
              <w:t>Curtea de Conturi</w:t>
            </w:r>
          </w:p>
          <w:p w14:paraId="32E03757" w14:textId="29DADBD9" w:rsidR="00770E01" w:rsidRPr="00363736" w:rsidRDefault="00770E01" w:rsidP="008838DB">
            <w:pPr>
              <w:spacing w:after="120"/>
              <w:jc w:val="both"/>
              <w:rPr>
                <w:b/>
                <w:bCs/>
              </w:rPr>
            </w:pPr>
            <w:r w:rsidRPr="00363736">
              <w:rPr>
                <w:b/>
                <w:bCs/>
              </w:rPr>
              <w:t>6.6. Alte informații</w:t>
            </w:r>
          </w:p>
        </w:tc>
      </w:tr>
    </w:tbl>
    <w:p w14:paraId="311858C9" w14:textId="77777777" w:rsidR="00770E01" w:rsidRPr="00363736" w:rsidRDefault="00670C79" w:rsidP="008838DB">
      <w:pPr>
        <w:pStyle w:val="BodyTextIndent2"/>
        <w:spacing w:before="0" w:line="240" w:lineRule="auto"/>
        <w:ind w:left="180" w:right="98" w:firstLine="540"/>
        <w:jc w:val="both"/>
        <w:rPr>
          <w:bCs w:val="0"/>
          <w:sz w:val="24"/>
        </w:rPr>
      </w:pPr>
      <w:proofErr w:type="spellStart"/>
      <w:r w:rsidRPr="00363736">
        <w:rPr>
          <w:bCs w:val="0"/>
          <w:sz w:val="24"/>
        </w:rPr>
        <w:lastRenderedPageBreak/>
        <w:t>Secţiunea</w:t>
      </w:r>
      <w:proofErr w:type="spellEnd"/>
      <w:r w:rsidRPr="00363736">
        <w:rPr>
          <w:bCs w:val="0"/>
          <w:sz w:val="24"/>
        </w:rPr>
        <w:t xml:space="preserve"> a 7-a  </w:t>
      </w:r>
    </w:p>
    <w:p w14:paraId="45DA67B7" w14:textId="070DA24F" w:rsidR="00260E13" w:rsidRPr="00363736" w:rsidRDefault="00670C79" w:rsidP="008838DB">
      <w:pPr>
        <w:pStyle w:val="BodyTextIndent2"/>
        <w:spacing w:before="0" w:line="240" w:lineRule="auto"/>
        <w:ind w:left="180" w:right="98" w:firstLine="540"/>
        <w:jc w:val="both"/>
        <w:rPr>
          <w:bCs w:val="0"/>
          <w:sz w:val="24"/>
        </w:rPr>
      </w:pPr>
      <w:proofErr w:type="spellStart"/>
      <w:r w:rsidRPr="00363736">
        <w:rPr>
          <w:bCs w:val="0"/>
          <w:sz w:val="24"/>
        </w:rPr>
        <w:t>Activităţi</w:t>
      </w:r>
      <w:proofErr w:type="spellEnd"/>
      <w:r w:rsidRPr="00363736">
        <w:rPr>
          <w:bCs w:val="0"/>
          <w:sz w:val="24"/>
        </w:rPr>
        <w:t xml:space="preserve"> de informare publică privind elaborarea </w:t>
      </w:r>
      <w:proofErr w:type="spellStart"/>
      <w:r w:rsidRPr="00363736">
        <w:rPr>
          <w:bCs w:val="0"/>
          <w:sz w:val="24"/>
        </w:rPr>
        <w:t>şi</w:t>
      </w:r>
      <w:proofErr w:type="spellEnd"/>
      <w:r w:rsidRPr="00363736">
        <w:rPr>
          <w:bCs w:val="0"/>
          <w:sz w:val="24"/>
        </w:rPr>
        <w:t xml:space="preserve"> implementarea </w:t>
      </w:r>
      <w:bookmarkStart w:id="0" w:name="_Hlk100229941"/>
      <w:r w:rsidRPr="00363736">
        <w:rPr>
          <w:bCs w:val="0"/>
          <w:sz w:val="24"/>
        </w:rPr>
        <w:t>proiectului de act normativ</w:t>
      </w:r>
      <w:bookmarkEnd w:id="0"/>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363736" w:rsidRPr="00363736" w14:paraId="416004E3" w14:textId="77777777" w:rsidTr="00634CAE">
        <w:tc>
          <w:tcPr>
            <w:tcW w:w="10533" w:type="dxa"/>
          </w:tcPr>
          <w:p w14:paraId="086CD6C3" w14:textId="77777777" w:rsidR="0095573B" w:rsidRPr="00363736" w:rsidRDefault="00770E01" w:rsidP="008838DB">
            <w:pPr>
              <w:spacing w:after="120"/>
              <w:jc w:val="both"/>
              <w:rPr>
                <w:b/>
                <w:bCs/>
              </w:rPr>
            </w:pPr>
            <w:r w:rsidRPr="00363736">
              <w:rPr>
                <w:b/>
                <w:bCs/>
              </w:rPr>
              <w:t xml:space="preserve">7.1. </w:t>
            </w:r>
            <w:r w:rsidR="0053566B" w:rsidRPr="00363736">
              <w:rPr>
                <w:b/>
                <w:bCs/>
              </w:rPr>
              <w:t xml:space="preserve">Informarea </w:t>
            </w:r>
            <w:proofErr w:type="spellStart"/>
            <w:r w:rsidR="0053566B" w:rsidRPr="00363736">
              <w:rPr>
                <w:b/>
                <w:bCs/>
              </w:rPr>
              <w:t>societăţii</w:t>
            </w:r>
            <w:proofErr w:type="spellEnd"/>
            <w:r w:rsidR="0053566B" w:rsidRPr="00363736">
              <w:rPr>
                <w:b/>
                <w:bCs/>
              </w:rPr>
              <w:t xml:space="preserve"> civile cu privire la elaborarea proiectului de act normativ</w:t>
            </w:r>
          </w:p>
          <w:p w14:paraId="71D48459" w14:textId="0C9E0E48" w:rsidR="0095573B" w:rsidRPr="00363736" w:rsidRDefault="0095573B" w:rsidP="008838DB">
            <w:pPr>
              <w:spacing w:after="120"/>
              <w:jc w:val="both"/>
              <w:rPr>
                <w:b/>
                <w:bCs/>
              </w:rPr>
            </w:pPr>
            <w:r w:rsidRPr="00363736">
              <w:t xml:space="preserve">Prezentul proiect de act normativ a fost publicat în dezbatere publică pe pagina de internet a Ministerului Investițiilor și Proiectelor Europene la data de </w:t>
            </w:r>
            <w:r w:rsidR="007B051C">
              <w:t>17.</w:t>
            </w:r>
            <w:r w:rsidRPr="00363736">
              <w:t>0</w:t>
            </w:r>
            <w:r w:rsidR="003B09D4">
              <w:t>5</w:t>
            </w:r>
            <w:r w:rsidRPr="00363736">
              <w:t>.2022 pentru o perioadă de 10 zile</w:t>
            </w:r>
          </w:p>
          <w:p w14:paraId="3695E7F7" w14:textId="5EFB82C4" w:rsidR="0053566B" w:rsidRPr="00363736" w:rsidRDefault="0053566B" w:rsidP="008838DB">
            <w:pPr>
              <w:spacing w:after="120"/>
              <w:jc w:val="both"/>
              <w:rPr>
                <w:b/>
                <w:bCs/>
              </w:rPr>
            </w:pPr>
            <w:r w:rsidRPr="00363736">
              <w:rPr>
                <w:b/>
                <w:bCs/>
              </w:rPr>
              <w:t xml:space="preserve">7.2. Informarea </w:t>
            </w:r>
            <w:proofErr w:type="spellStart"/>
            <w:r w:rsidRPr="00363736">
              <w:rPr>
                <w:b/>
                <w:bCs/>
              </w:rPr>
              <w:t>societăţii</w:t>
            </w:r>
            <w:proofErr w:type="spellEnd"/>
            <w:r w:rsidRPr="00363736">
              <w:rPr>
                <w:b/>
                <w:bCs/>
              </w:rPr>
              <w:t xml:space="preserve"> civile cu privire la e</w:t>
            </w:r>
            <w:r w:rsidR="008F6907" w:rsidRPr="00363736">
              <w:rPr>
                <w:b/>
                <w:bCs/>
              </w:rPr>
              <w:t>v</w:t>
            </w:r>
            <w:r w:rsidRPr="00363736">
              <w:rPr>
                <w:b/>
                <w:bCs/>
              </w:rPr>
              <w:t>entualul impact asupra mediului în urma implementării proiectului de act normativ, precum și efectele asupra sănătății și securității cetățenilor sau diversității biologice</w:t>
            </w:r>
          </w:p>
          <w:p w14:paraId="78B7C109" w14:textId="538FB255" w:rsidR="0095573B" w:rsidRPr="00363736" w:rsidRDefault="0095573B" w:rsidP="008838DB">
            <w:pPr>
              <w:spacing w:after="120"/>
              <w:jc w:val="both"/>
              <w:rPr>
                <w:bCs/>
              </w:rPr>
            </w:pPr>
            <w:r w:rsidRPr="00363736">
              <w:rPr>
                <w:bCs/>
              </w:rPr>
              <w:t>Prezentul act normativ nu se referă la acest subiect.</w:t>
            </w:r>
          </w:p>
          <w:p w14:paraId="12CF80CC" w14:textId="77777777" w:rsidR="008F6907" w:rsidRPr="00363736" w:rsidRDefault="008F6907" w:rsidP="008838DB">
            <w:pPr>
              <w:spacing w:after="120"/>
              <w:jc w:val="both"/>
              <w:rPr>
                <w:b/>
                <w:bCs/>
              </w:rPr>
            </w:pPr>
            <w:r w:rsidRPr="00363736">
              <w:rPr>
                <w:b/>
                <w:bCs/>
              </w:rPr>
              <w:t>7.3. Alte informații</w:t>
            </w:r>
          </w:p>
          <w:p w14:paraId="6A2C5259" w14:textId="7D622426" w:rsidR="0095573B" w:rsidRPr="00363736" w:rsidRDefault="0095573B" w:rsidP="008838DB">
            <w:pPr>
              <w:spacing w:after="120"/>
              <w:jc w:val="both"/>
              <w:rPr>
                <w:bCs/>
              </w:rPr>
            </w:pPr>
            <w:r w:rsidRPr="00363736">
              <w:rPr>
                <w:bCs/>
              </w:rPr>
              <w:t>Nu au fost identificate.</w:t>
            </w:r>
          </w:p>
        </w:tc>
      </w:tr>
    </w:tbl>
    <w:p w14:paraId="1DCAD9D0" w14:textId="77777777" w:rsidR="002E20A6" w:rsidRPr="00363736" w:rsidRDefault="002E20A6" w:rsidP="008838DB">
      <w:pPr>
        <w:spacing w:after="120"/>
        <w:rPr>
          <w:b/>
        </w:rPr>
      </w:pPr>
    </w:p>
    <w:p w14:paraId="341152AF" w14:textId="77777777" w:rsidR="0053566B" w:rsidRPr="00363736" w:rsidRDefault="00670C79" w:rsidP="008838DB">
      <w:pPr>
        <w:spacing w:after="120"/>
        <w:ind w:left="180" w:firstLine="540"/>
        <w:rPr>
          <w:b/>
        </w:rPr>
      </w:pPr>
      <w:proofErr w:type="spellStart"/>
      <w:r w:rsidRPr="00363736">
        <w:rPr>
          <w:b/>
        </w:rPr>
        <w:t>Secţiunea</w:t>
      </w:r>
      <w:proofErr w:type="spellEnd"/>
      <w:r w:rsidRPr="00363736">
        <w:rPr>
          <w:b/>
        </w:rPr>
        <w:t xml:space="preserve"> a 8- a</w:t>
      </w:r>
      <w:r w:rsidR="002E20A6" w:rsidRPr="00363736">
        <w:rPr>
          <w:b/>
        </w:rPr>
        <w:t xml:space="preserve"> </w:t>
      </w:r>
      <w:r w:rsidRPr="00363736">
        <w:rPr>
          <w:b/>
        </w:rPr>
        <w:t xml:space="preserve"> </w:t>
      </w:r>
    </w:p>
    <w:p w14:paraId="3FBCA191" w14:textId="2A77164A" w:rsidR="00670C79" w:rsidRPr="00363736" w:rsidRDefault="00670C79" w:rsidP="008838DB">
      <w:pPr>
        <w:spacing w:after="120"/>
        <w:ind w:left="180" w:firstLine="540"/>
        <w:rPr>
          <w:b/>
        </w:rPr>
      </w:pPr>
      <w:r w:rsidRPr="00363736">
        <w:rPr>
          <w:b/>
        </w:rPr>
        <w:t xml:space="preserve">Măsuri </w:t>
      </w:r>
      <w:r w:rsidR="0053566B" w:rsidRPr="00363736">
        <w:rPr>
          <w:b/>
        </w:rPr>
        <w:t>privind</w:t>
      </w:r>
      <w:r w:rsidRPr="00363736">
        <w:rPr>
          <w:b/>
        </w:rPr>
        <w:t xml:space="preserve"> implementare</w:t>
      </w:r>
      <w:r w:rsidR="0053566B" w:rsidRPr="00363736">
        <w:rPr>
          <w:b/>
        </w:rPr>
        <w:t>a, monitorizarea și evaluarea proiectului de act normativ</w:t>
      </w:r>
    </w:p>
    <w:tbl>
      <w:tblPr>
        <w:tblW w:w="105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53"/>
      </w:tblGrid>
      <w:tr w:rsidR="00363736" w:rsidRPr="00363736" w14:paraId="554BFAFC" w14:textId="77777777" w:rsidTr="00435BC5">
        <w:tc>
          <w:tcPr>
            <w:tcW w:w="10553" w:type="dxa"/>
          </w:tcPr>
          <w:p w14:paraId="560280B7" w14:textId="452BF905" w:rsidR="0053566B" w:rsidRPr="00363736" w:rsidRDefault="0053566B" w:rsidP="008838DB">
            <w:pPr>
              <w:pStyle w:val="Heading1"/>
              <w:spacing w:after="120" w:line="240" w:lineRule="auto"/>
              <w:jc w:val="both"/>
              <w:rPr>
                <w:b/>
                <w:bCs/>
                <w:sz w:val="24"/>
              </w:rPr>
            </w:pPr>
            <w:r w:rsidRPr="00363736">
              <w:rPr>
                <w:b/>
                <w:bCs/>
                <w:sz w:val="24"/>
              </w:rPr>
              <w:t>8.1. Măsuri de punere în aplicare a proiectului de act normativ</w:t>
            </w:r>
          </w:p>
          <w:p w14:paraId="508D4B99" w14:textId="77777777" w:rsidR="0095573B" w:rsidRPr="00363736" w:rsidRDefault="0095573B" w:rsidP="00363736">
            <w:pPr>
              <w:jc w:val="both"/>
            </w:pPr>
            <w:r w:rsidRPr="00363736">
              <w:t>După aprobarea acestei hotărâri de Guvern se va constitui Comitetului de investiții pentru Fondul de Fonduri pentru digitalizare, acțiune climatică și alte domenii de interes, finanțat din Planului național de redresare și reziliență al României</w:t>
            </w:r>
          </w:p>
          <w:p w14:paraId="42FD1B52" w14:textId="6EE44B22" w:rsidR="004555DD" w:rsidRPr="00363736" w:rsidRDefault="004555DD" w:rsidP="008838DB"/>
          <w:p w14:paraId="7BAD2021" w14:textId="77777777" w:rsidR="0053566B" w:rsidRPr="00363736" w:rsidRDefault="0053566B" w:rsidP="008838DB">
            <w:pPr>
              <w:rPr>
                <w:b/>
                <w:bCs/>
              </w:rPr>
            </w:pPr>
            <w:r w:rsidRPr="00363736">
              <w:rPr>
                <w:b/>
                <w:bCs/>
              </w:rPr>
              <w:t xml:space="preserve">8.2. Alte </w:t>
            </w:r>
            <w:proofErr w:type="spellStart"/>
            <w:r w:rsidRPr="00363736">
              <w:rPr>
                <w:b/>
                <w:bCs/>
              </w:rPr>
              <w:t>informaţii</w:t>
            </w:r>
            <w:proofErr w:type="spellEnd"/>
          </w:p>
          <w:p w14:paraId="3837F202" w14:textId="1B4891F8" w:rsidR="0095573B" w:rsidRPr="00363736" w:rsidRDefault="0095573B" w:rsidP="008838DB">
            <w:r w:rsidRPr="00363736">
              <w:t>Nu au fost identificate.</w:t>
            </w:r>
          </w:p>
        </w:tc>
      </w:tr>
    </w:tbl>
    <w:p w14:paraId="28A87137" w14:textId="42F7B259" w:rsidR="00C5468F" w:rsidRPr="00363736" w:rsidRDefault="00C5468F" w:rsidP="008838DB">
      <w:pPr>
        <w:widowControl w:val="0"/>
        <w:spacing w:after="120"/>
        <w:jc w:val="both"/>
      </w:pPr>
    </w:p>
    <w:p w14:paraId="5E6D832C" w14:textId="77777777" w:rsidR="00D72704" w:rsidRPr="00363736" w:rsidRDefault="00D72704" w:rsidP="0095573B">
      <w:pPr>
        <w:widowControl w:val="0"/>
        <w:spacing w:after="120"/>
        <w:jc w:val="both"/>
      </w:pPr>
    </w:p>
    <w:p w14:paraId="126FAD64" w14:textId="77777777" w:rsidR="00D72704" w:rsidRPr="00363736" w:rsidRDefault="00D72704" w:rsidP="0095573B">
      <w:pPr>
        <w:widowControl w:val="0"/>
        <w:spacing w:after="120"/>
        <w:jc w:val="both"/>
      </w:pPr>
    </w:p>
    <w:p w14:paraId="1179430B" w14:textId="77777777" w:rsidR="00D72704" w:rsidRPr="00363736" w:rsidRDefault="00D72704" w:rsidP="0095573B">
      <w:pPr>
        <w:widowControl w:val="0"/>
        <w:spacing w:after="120"/>
        <w:jc w:val="both"/>
      </w:pPr>
    </w:p>
    <w:p w14:paraId="4D1DD948" w14:textId="77777777" w:rsidR="00D72704" w:rsidRPr="00363736" w:rsidRDefault="00D72704" w:rsidP="0095573B">
      <w:pPr>
        <w:widowControl w:val="0"/>
        <w:spacing w:after="120"/>
        <w:jc w:val="both"/>
      </w:pPr>
    </w:p>
    <w:p w14:paraId="73EA05EC" w14:textId="77777777" w:rsidR="00D72704" w:rsidRPr="00363736" w:rsidRDefault="00D72704" w:rsidP="0095573B">
      <w:pPr>
        <w:widowControl w:val="0"/>
        <w:spacing w:after="120"/>
        <w:jc w:val="both"/>
      </w:pPr>
    </w:p>
    <w:p w14:paraId="2D6CBA05" w14:textId="77777777" w:rsidR="00D72704" w:rsidRPr="00363736" w:rsidRDefault="00D72704" w:rsidP="0095573B">
      <w:pPr>
        <w:widowControl w:val="0"/>
        <w:spacing w:after="120"/>
        <w:jc w:val="both"/>
      </w:pPr>
    </w:p>
    <w:p w14:paraId="2A00D7C1" w14:textId="77777777" w:rsidR="00D72704" w:rsidRPr="00363736" w:rsidRDefault="00D72704" w:rsidP="0095573B">
      <w:pPr>
        <w:widowControl w:val="0"/>
        <w:spacing w:after="120"/>
        <w:jc w:val="both"/>
      </w:pPr>
    </w:p>
    <w:p w14:paraId="6CB1CB79" w14:textId="2E8CFAD2" w:rsidR="0095573B" w:rsidRPr="00363736" w:rsidRDefault="0095573B" w:rsidP="0095573B">
      <w:pPr>
        <w:widowControl w:val="0"/>
        <w:spacing w:after="120"/>
        <w:jc w:val="both"/>
      </w:pPr>
      <w:r w:rsidRPr="00363736">
        <w:lastRenderedPageBreak/>
        <w:t xml:space="preserve">Față de cele prezentate mai sus, a fost elaborat proiectul de Hotărâre a Guvernului privind aprobarea Contractului de finanțare dintre Guvernul României reprezentat de Ministerul Investițiilor și Proiectelor Europene și Banca Europeană de Investiții privind Fondul de Fonduri pentru digitalizare, acțiune climatică și alte domenii de interes, finanțat din Planul național de redresare și reziliență al României, semnat la București la 31 martie 2022, care în forma prezentată, a fost avizat de ministerele interesate </w:t>
      </w:r>
      <w:proofErr w:type="spellStart"/>
      <w:r w:rsidRPr="00363736">
        <w:t>şi</w:t>
      </w:r>
      <w:proofErr w:type="spellEnd"/>
      <w:r w:rsidRPr="00363736">
        <w:t xml:space="preserve"> de Consiliul Legislativ și pe care îl supunem adoptării.</w:t>
      </w:r>
    </w:p>
    <w:p w14:paraId="7BD7CDD3" w14:textId="77777777" w:rsidR="0095573B" w:rsidRPr="00363736" w:rsidRDefault="0095573B" w:rsidP="0095573B">
      <w:pPr>
        <w:widowControl w:val="0"/>
        <w:spacing w:after="120"/>
        <w:jc w:val="both"/>
      </w:pPr>
    </w:p>
    <w:p w14:paraId="21001502" w14:textId="77777777" w:rsidR="0095573B" w:rsidRPr="00363736" w:rsidRDefault="0095573B" w:rsidP="0095573B">
      <w:pPr>
        <w:widowControl w:val="0"/>
        <w:spacing w:after="120"/>
        <w:jc w:val="both"/>
      </w:pPr>
    </w:p>
    <w:p w14:paraId="17F09847" w14:textId="77777777" w:rsidR="0095573B" w:rsidRPr="00363736" w:rsidRDefault="0095573B" w:rsidP="0095573B">
      <w:pPr>
        <w:widowControl w:val="0"/>
        <w:spacing w:after="120"/>
        <w:jc w:val="both"/>
      </w:pPr>
      <w:bookmarkStart w:id="1" w:name="_GoBack"/>
      <w:bookmarkEnd w:id="1"/>
    </w:p>
    <w:p w14:paraId="040E8C5A" w14:textId="77777777" w:rsidR="0095573B" w:rsidRPr="00363736" w:rsidRDefault="0095573B" w:rsidP="0095573B">
      <w:pPr>
        <w:widowControl w:val="0"/>
        <w:spacing w:after="120"/>
        <w:jc w:val="both"/>
      </w:pPr>
    </w:p>
    <w:p w14:paraId="3D2B00C8" w14:textId="77777777" w:rsidR="0095573B" w:rsidRPr="00363736" w:rsidRDefault="0095573B" w:rsidP="0095573B">
      <w:pPr>
        <w:widowControl w:val="0"/>
        <w:spacing w:after="120"/>
        <w:jc w:val="both"/>
      </w:pPr>
    </w:p>
    <w:p w14:paraId="35C9D951" w14:textId="77777777" w:rsidR="0095573B" w:rsidRPr="00363736" w:rsidRDefault="0095573B" w:rsidP="0095573B">
      <w:pPr>
        <w:widowControl w:val="0"/>
        <w:spacing w:after="120"/>
        <w:jc w:val="both"/>
      </w:pPr>
    </w:p>
    <w:p w14:paraId="1BA2B80B" w14:textId="77777777" w:rsidR="0095573B" w:rsidRPr="00363736" w:rsidRDefault="0095573B" w:rsidP="0095573B">
      <w:pPr>
        <w:widowControl w:val="0"/>
        <w:spacing w:after="120"/>
        <w:jc w:val="both"/>
      </w:pPr>
    </w:p>
    <w:p w14:paraId="4C7B39A3" w14:textId="77777777" w:rsidR="0095573B" w:rsidRPr="00363736" w:rsidRDefault="0095573B" w:rsidP="0095573B">
      <w:pPr>
        <w:widowControl w:val="0"/>
        <w:spacing w:after="120"/>
        <w:jc w:val="both"/>
      </w:pPr>
    </w:p>
    <w:p w14:paraId="2E5F1289" w14:textId="77777777" w:rsidR="0095573B" w:rsidRPr="00363736" w:rsidRDefault="0095573B" w:rsidP="0095573B">
      <w:pPr>
        <w:widowControl w:val="0"/>
        <w:spacing w:after="120"/>
        <w:jc w:val="both"/>
      </w:pPr>
    </w:p>
    <w:p w14:paraId="3381E45D" w14:textId="77777777" w:rsidR="0095573B" w:rsidRPr="00363736" w:rsidRDefault="0095573B" w:rsidP="008838DB">
      <w:pPr>
        <w:widowControl w:val="0"/>
        <w:spacing w:after="120"/>
        <w:jc w:val="both"/>
      </w:pPr>
    </w:p>
    <w:sectPr w:rsidR="0095573B" w:rsidRPr="00363736" w:rsidSect="0095573B">
      <w:footerReference w:type="even" r:id="rId8"/>
      <w:footerReference w:type="default" r:id="rId9"/>
      <w:pgSz w:w="12240" w:h="15840"/>
      <w:pgMar w:top="567" w:right="851" w:bottom="360" w:left="851"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07B063" w16cex:dateUtc="2022-04-18T06: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4C5D215" w16cid:durableId="2607B063"/>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C016FA" w14:textId="77777777" w:rsidR="00DC45FE" w:rsidRDefault="00DC45FE">
      <w:r>
        <w:separator/>
      </w:r>
    </w:p>
  </w:endnote>
  <w:endnote w:type="continuationSeparator" w:id="0">
    <w:p w14:paraId="1865C8B9" w14:textId="77777777" w:rsidR="00DC45FE" w:rsidRDefault="00DC4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altName w:val="Times New Roman PS"/>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Simplified Arabic">
    <w:altName w:val="Times New Roman"/>
    <w:charset w:val="B2"/>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78418" w14:textId="77777777" w:rsidR="00EA23CB" w:rsidRDefault="00670C79" w:rsidP="00AC7A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0733C72" w14:textId="77777777" w:rsidR="00EA23CB" w:rsidRDefault="00DC45FE" w:rsidP="001C5815">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42F9A" w14:textId="77777777" w:rsidR="00EA23CB" w:rsidRDefault="00DC45FE" w:rsidP="001C5815">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FB5F2" w14:textId="77777777" w:rsidR="00DC45FE" w:rsidRDefault="00DC45FE">
      <w:r>
        <w:separator/>
      </w:r>
    </w:p>
  </w:footnote>
  <w:footnote w:type="continuationSeparator" w:id="0">
    <w:p w14:paraId="7348D4D6" w14:textId="77777777" w:rsidR="00DC45FE" w:rsidRDefault="00DC45F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465A5"/>
    <w:multiLevelType w:val="hybridMultilevel"/>
    <w:tmpl w:val="55CA82F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DA3863"/>
    <w:multiLevelType w:val="hybridMultilevel"/>
    <w:tmpl w:val="8F3EDD4E"/>
    <w:lvl w:ilvl="0" w:tplc="FF4228E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C52885"/>
    <w:multiLevelType w:val="hybridMultilevel"/>
    <w:tmpl w:val="228A6CCC"/>
    <w:lvl w:ilvl="0" w:tplc="788AA9C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A3487A"/>
    <w:multiLevelType w:val="hybridMultilevel"/>
    <w:tmpl w:val="76A40B7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C5E3BB0"/>
    <w:multiLevelType w:val="hybridMultilevel"/>
    <w:tmpl w:val="81C2583E"/>
    <w:lvl w:ilvl="0" w:tplc="0D6C67E0">
      <w:start w:val="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3352AF1"/>
    <w:multiLevelType w:val="multilevel"/>
    <w:tmpl w:val="48A66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6D1365F"/>
    <w:multiLevelType w:val="hybridMultilevel"/>
    <w:tmpl w:val="5764217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E1D40AD"/>
    <w:multiLevelType w:val="hybridMultilevel"/>
    <w:tmpl w:val="EFF2C32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EA631FA"/>
    <w:multiLevelType w:val="hybridMultilevel"/>
    <w:tmpl w:val="D68EB3A2"/>
    <w:lvl w:ilvl="0" w:tplc="EE5621E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78AF1295"/>
    <w:multiLevelType w:val="hybridMultilevel"/>
    <w:tmpl w:val="0CF8FBF8"/>
    <w:lvl w:ilvl="0" w:tplc="0409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 w15:restartNumberingAfterBreak="0">
    <w:nsid w:val="79B149B5"/>
    <w:multiLevelType w:val="hybridMultilevel"/>
    <w:tmpl w:val="C32CF6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D587E24"/>
    <w:multiLevelType w:val="hybridMultilevel"/>
    <w:tmpl w:val="84C4FC18"/>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num w:numId="1">
    <w:abstractNumId w:val="0"/>
  </w:num>
  <w:num w:numId="2">
    <w:abstractNumId w:val="11"/>
  </w:num>
  <w:num w:numId="3">
    <w:abstractNumId w:val="8"/>
  </w:num>
  <w:num w:numId="4">
    <w:abstractNumId w:val="1"/>
  </w:num>
  <w:num w:numId="5">
    <w:abstractNumId w:val="5"/>
  </w:num>
  <w:num w:numId="6">
    <w:abstractNumId w:val="10"/>
  </w:num>
  <w:num w:numId="7">
    <w:abstractNumId w:val="4"/>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7"/>
  </w:num>
  <w:num w:numId="11">
    <w:abstractNumId w:val="6"/>
  </w:num>
  <w:num w:numId="12">
    <w:abstractNumId w:val="3"/>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EA6"/>
    <w:rsid w:val="000019B6"/>
    <w:rsid w:val="00002E4A"/>
    <w:rsid w:val="000040A1"/>
    <w:rsid w:val="000042B4"/>
    <w:rsid w:val="00006F20"/>
    <w:rsid w:val="0000707B"/>
    <w:rsid w:val="0001318A"/>
    <w:rsid w:val="00013621"/>
    <w:rsid w:val="0001442E"/>
    <w:rsid w:val="000155D5"/>
    <w:rsid w:val="000160F3"/>
    <w:rsid w:val="00017D04"/>
    <w:rsid w:val="0002299E"/>
    <w:rsid w:val="00024F37"/>
    <w:rsid w:val="00025015"/>
    <w:rsid w:val="000260DD"/>
    <w:rsid w:val="000265F7"/>
    <w:rsid w:val="00026B13"/>
    <w:rsid w:val="00027469"/>
    <w:rsid w:val="00031D8D"/>
    <w:rsid w:val="0003205B"/>
    <w:rsid w:val="00035D17"/>
    <w:rsid w:val="000369EF"/>
    <w:rsid w:val="000371BC"/>
    <w:rsid w:val="00040B7B"/>
    <w:rsid w:val="00043471"/>
    <w:rsid w:val="00043911"/>
    <w:rsid w:val="00044209"/>
    <w:rsid w:val="0004452D"/>
    <w:rsid w:val="00046B44"/>
    <w:rsid w:val="000503A8"/>
    <w:rsid w:val="00052632"/>
    <w:rsid w:val="00054869"/>
    <w:rsid w:val="00054DF8"/>
    <w:rsid w:val="000563C0"/>
    <w:rsid w:val="00057629"/>
    <w:rsid w:val="00057EC8"/>
    <w:rsid w:val="00060E2F"/>
    <w:rsid w:val="00061E6F"/>
    <w:rsid w:val="0006216F"/>
    <w:rsid w:val="00062BA0"/>
    <w:rsid w:val="0006409E"/>
    <w:rsid w:val="00064A6B"/>
    <w:rsid w:val="00064E28"/>
    <w:rsid w:val="00070830"/>
    <w:rsid w:val="00073195"/>
    <w:rsid w:val="000733D3"/>
    <w:rsid w:val="0007609F"/>
    <w:rsid w:val="00076C55"/>
    <w:rsid w:val="000808EE"/>
    <w:rsid w:val="00081475"/>
    <w:rsid w:val="00083DB6"/>
    <w:rsid w:val="00083EAF"/>
    <w:rsid w:val="00084EE5"/>
    <w:rsid w:val="00084F56"/>
    <w:rsid w:val="00085904"/>
    <w:rsid w:val="00086114"/>
    <w:rsid w:val="00087383"/>
    <w:rsid w:val="00087C48"/>
    <w:rsid w:val="00090676"/>
    <w:rsid w:val="0009222E"/>
    <w:rsid w:val="00092376"/>
    <w:rsid w:val="0009320D"/>
    <w:rsid w:val="00094481"/>
    <w:rsid w:val="000949D2"/>
    <w:rsid w:val="00094AE3"/>
    <w:rsid w:val="00095300"/>
    <w:rsid w:val="0009621B"/>
    <w:rsid w:val="000A06E8"/>
    <w:rsid w:val="000A437E"/>
    <w:rsid w:val="000A6298"/>
    <w:rsid w:val="000A71F1"/>
    <w:rsid w:val="000B036B"/>
    <w:rsid w:val="000B1818"/>
    <w:rsid w:val="000B391A"/>
    <w:rsid w:val="000B3D76"/>
    <w:rsid w:val="000B4945"/>
    <w:rsid w:val="000B55D8"/>
    <w:rsid w:val="000B650E"/>
    <w:rsid w:val="000B665D"/>
    <w:rsid w:val="000B7506"/>
    <w:rsid w:val="000B753E"/>
    <w:rsid w:val="000C3277"/>
    <w:rsid w:val="000C3586"/>
    <w:rsid w:val="000C3625"/>
    <w:rsid w:val="000C4A4F"/>
    <w:rsid w:val="000C54A4"/>
    <w:rsid w:val="000C614B"/>
    <w:rsid w:val="000C7D63"/>
    <w:rsid w:val="000C7EAF"/>
    <w:rsid w:val="000C7EEC"/>
    <w:rsid w:val="000D0889"/>
    <w:rsid w:val="000D23B9"/>
    <w:rsid w:val="000D2B20"/>
    <w:rsid w:val="000D315E"/>
    <w:rsid w:val="000D403B"/>
    <w:rsid w:val="000D4132"/>
    <w:rsid w:val="000D4C09"/>
    <w:rsid w:val="000E0EA4"/>
    <w:rsid w:val="000E2C2D"/>
    <w:rsid w:val="000E3A58"/>
    <w:rsid w:val="000E6FCF"/>
    <w:rsid w:val="000E74F5"/>
    <w:rsid w:val="000F26C2"/>
    <w:rsid w:val="000F40EF"/>
    <w:rsid w:val="000F6105"/>
    <w:rsid w:val="000F7896"/>
    <w:rsid w:val="00100251"/>
    <w:rsid w:val="00101A9B"/>
    <w:rsid w:val="001023B0"/>
    <w:rsid w:val="0010482B"/>
    <w:rsid w:val="00105808"/>
    <w:rsid w:val="001067AA"/>
    <w:rsid w:val="00106FB3"/>
    <w:rsid w:val="00106FE8"/>
    <w:rsid w:val="00107736"/>
    <w:rsid w:val="00107740"/>
    <w:rsid w:val="001077E3"/>
    <w:rsid w:val="00107E28"/>
    <w:rsid w:val="001110C2"/>
    <w:rsid w:val="00112E9E"/>
    <w:rsid w:val="001147BA"/>
    <w:rsid w:val="0011501B"/>
    <w:rsid w:val="00115083"/>
    <w:rsid w:val="00115131"/>
    <w:rsid w:val="00121CCC"/>
    <w:rsid w:val="001250F7"/>
    <w:rsid w:val="00125245"/>
    <w:rsid w:val="00126BBF"/>
    <w:rsid w:val="00130ADF"/>
    <w:rsid w:val="00131281"/>
    <w:rsid w:val="001313D8"/>
    <w:rsid w:val="0013230E"/>
    <w:rsid w:val="00133A3B"/>
    <w:rsid w:val="0013619D"/>
    <w:rsid w:val="0013676D"/>
    <w:rsid w:val="00137A13"/>
    <w:rsid w:val="001459BC"/>
    <w:rsid w:val="0014608E"/>
    <w:rsid w:val="0014728C"/>
    <w:rsid w:val="001500EA"/>
    <w:rsid w:val="00152085"/>
    <w:rsid w:val="001528E8"/>
    <w:rsid w:val="00153B2A"/>
    <w:rsid w:val="0015446A"/>
    <w:rsid w:val="001544DC"/>
    <w:rsid w:val="0015762E"/>
    <w:rsid w:val="00157B5B"/>
    <w:rsid w:val="00160148"/>
    <w:rsid w:val="00161A61"/>
    <w:rsid w:val="00164F79"/>
    <w:rsid w:val="00164FF3"/>
    <w:rsid w:val="00165A07"/>
    <w:rsid w:val="00165C92"/>
    <w:rsid w:val="00165D35"/>
    <w:rsid w:val="0016702F"/>
    <w:rsid w:val="0016785A"/>
    <w:rsid w:val="00167EF9"/>
    <w:rsid w:val="0017030A"/>
    <w:rsid w:val="00170D4E"/>
    <w:rsid w:val="00172493"/>
    <w:rsid w:val="00173986"/>
    <w:rsid w:val="0017630C"/>
    <w:rsid w:val="001776C1"/>
    <w:rsid w:val="00177CD3"/>
    <w:rsid w:val="00177EC3"/>
    <w:rsid w:val="00180B7B"/>
    <w:rsid w:val="00181323"/>
    <w:rsid w:val="0018173D"/>
    <w:rsid w:val="00181DB6"/>
    <w:rsid w:val="0019189C"/>
    <w:rsid w:val="001919CC"/>
    <w:rsid w:val="0019387C"/>
    <w:rsid w:val="001945C9"/>
    <w:rsid w:val="001A0854"/>
    <w:rsid w:val="001A0AEA"/>
    <w:rsid w:val="001A1AA3"/>
    <w:rsid w:val="001A1AE5"/>
    <w:rsid w:val="001A1D31"/>
    <w:rsid w:val="001A2A6E"/>
    <w:rsid w:val="001A374F"/>
    <w:rsid w:val="001A4420"/>
    <w:rsid w:val="001A78A0"/>
    <w:rsid w:val="001A7C31"/>
    <w:rsid w:val="001B1912"/>
    <w:rsid w:val="001B1AD6"/>
    <w:rsid w:val="001B22D1"/>
    <w:rsid w:val="001B23D0"/>
    <w:rsid w:val="001B2B36"/>
    <w:rsid w:val="001B3B27"/>
    <w:rsid w:val="001B4FE1"/>
    <w:rsid w:val="001B6DD8"/>
    <w:rsid w:val="001B7961"/>
    <w:rsid w:val="001C2EA5"/>
    <w:rsid w:val="001C33B5"/>
    <w:rsid w:val="001C3EF4"/>
    <w:rsid w:val="001C4735"/>
    <w:rsid w:val="001C55B8"/>
    <w:rsid w:val="001C6BF4"/>
    <w:rsid w:val="001C7510"/>
    <w:rsid w:val="001C7F48"/>
    <w:rsid w:val="001D0467"/>
    <w:rsid w:val="001D7448"/>
    <w:rsid w:val="001E058E"/>
    <w:rsid w:val="001E0BD4"/>
    <w:rsid w:val="001E0D0D"/>
    <w:rsid w:val="001E10D6"/>
    <w:rsid w:val="001E11B1"/>
    <w:rsid w:val="001E2092"/>
    <w:rsid w:val="001E236E"/>
    <w:rsid w:val="001E5470"/>
    <w:rsid w:val="001E55B3"/>
    <w:rsid w:val="001E69E4"/>
    <w:rsid w:val="001E6A4B"/>
    <w:rsid w:val="001E708B"/>
    <w:rsid w:val="001E7255"/>
    <w:rsid w:val="001F14A2"/>
    <w:rsid w:val="001F1E7E"/>
    <w:rsid w:val="001F418F"/>
    <w:rsid w:val="001F6D5C"/>
    <w:rsid w:val="001F700D"/>
    <w:rsid w:val="001F7034"/>
    <w:rsid w:val="001F733F"/>
    <w:rsid w:val="00200720"/>
    <w:rsid w:val="00210E9C"/>
    <w:rsid w:val="00211627"/>
    <w:rsid w:val="002116FE"/>
    <w:rsid w:val="00213877"/>
    <w:rsid w:val="00213BDB"/>
    <w:rsid w:val="002153E2"/>
    <w:rsid w:val="00217238"/>
    <w:rsid w:val="00217BF3"/>
    <w:rsid w:val="00217FEA"/>
    <w:rsid w:val="00220BDB"/>
    <w:rsid w:val="00221987"/>
    <w:rsid w:val="00221B2B"/>
    <w:rsid w:val="00223491"/>
    <w:rsid w:val="00223AFB"/>
    <w:rsid w:val="00225653"/>
    <w:rsid w:val="00227A62"/>
    <w:rsid w:val="00230EAE"/>
    <w:rsid w:val="00231324"/>
    <w:rsid w:val="00231F26"/>
    <w:rsid w:val="00232ED4"/>
    <w:rsid w:val="0023360D"/>
    <w:rsid w:val="002337CA"/>
    <w:rsid w:val="00233A87"/>
    <w:rsid w:val="00233D49"/>
    <w:rsid w:val="0023404B"/>
    <w:rsid w:val="002348DD"/>
    <w:rsid w:val="00234AB0"/>
    <w:rsid w:val="00234B65"/>
    <w:rsid w:val="002354D3"/>
    <w:rsid w:val="002404DC"/>
    <w:rsid w:val="002404F7"/>
    <w:rsid w:val="00244CF8"/>
    <w:rsid w:val="00250C5C"/>
    <w:rsid w:val="00251605"/>
    <w:rsid w:val="00256383"/>
    <w:rsid w:val="0025682E"/>
    <w:rsid w:val="00260E13"/>
    <w:rsid w:val="002623AD"/>
    <w:rsid w:val="00262462"/>
    <w:rsid w:val="0026264B"/>
    <w:rsid w:val="00262AAC"/>
    <w:rsid w:val="00262CFA"/>
    <w:rsid w:val="00267571"/>
    <w:rsid w:val="00271D4C"/>
    <w:rsid w:val="00272D53"/>
    <w:rsid w:val="0027308F"/>
    <w:rsid w:val="00275947"/>
    <w:rsid w:val="00275D3D"/>
    <w:rsid w:val="00276B03"/>
    <w:rsid w:val="0027750A"/>
    <w:rsid w:val="00280BAF"/>
    <w:rsid w:val="00282E65"/>
    <w:rsid w:val="00283DDB"/>
    <w:rsid w:val="00286173"/>
    <w:rsid w:val="00286541"/>
    <w:rsid w:val="002869DC"/>
    <w:rsid w:val="00286DEC"/>
    <w:rsid w:val="00294152"/>
    <w:rsid w:val="0029430E"/>
    <w:rsid w:val="00294D46"/>
    <w:rsid w:val="002A409A"/>
    <w:rsid w:val="002A41C3"/>
    <w:rsid w:val="002A4A4D"/>
    <w:rsid w:val="002A7775"/>
    <w:rsid w:val="002A7B24"/>
    <w:rsid w:val="002B14C9"/>
    <w:rsid w:val="002B2155"/>
    <w:rsid w:val="002B28B0"/>
    <w:rsid w:val="002B583C"/>
    <w:rsid w:val="002B689E"/>
    <w:rsid w:val="002B7888"/>
    <w:rsid w:val="002C122C"/>
    <w:rsid w:val="002C129E"/>
    <w:rsid w:val="002C1C7F"/>
    <w:rsid w:val="002C3361"/>
    <w:rsid w:val="002C37C4"/>
    <w:rsid w:val="002C4610"/>
    <w:rsid w:val="002C5396"/>
    <w:rsid w:val="002C6EEE"/>
    <w:rsid w:val="002D2048"/>
    <w:rsid w:val="002D214D"/>
    <w:rsid w:val="002D3A08"/>
    <w:rsid w:val="002D3CFD"/>
    <w:rsid w:val="002D519D"/>
    <w:rsid w:val="002D63DE"/>
    <w:rsid w:val="002E20A6"/>
    <w:rsid w:val="002E22BC"/>
    <w:rsid w:val="002E3AFC"/>
    <w:rsid w:val="002E3BEE"/>
    <w:rsid w:val="002E5329"/>
    <w:rsid w:val="002E5723"/>
    <w:rsid w:val="002E5889"/>
    <w:rsid w:val="002E6018"/>
    <w:rsid w:val="002E6BA8"/>
    <w:rsid w:val="002E7997"/>
    <w:rsid w:val="002E7E37"/>
    <w:rsid w:val="002F01BF"/>
    <w:rsid w:val="002F0CE9"/>
    <w:rsid w:val="002F1A5E"/>
    <w:rsid w:val="002F2645"/>
    <w:rsid w:val="002F36E2"/>
    <w:rsid w:val="002F4425"/>
    <w:rsid w:val="00300E1C"/>
    <w:rsid w:val="00302ADB"/>
    <w:rsid w:val="00302D6F"/>
    <w:rsid w:val="00302EF5"/>
    <w:rsid w:val="003034B1"/>
    <w:rsid w:val="00304361"/>
    <w:rsid w:val="00305061"/>
    <w:rsid w:val="0030581C"/>
    <w:rsid w:val="00305E5F"/>
    <w:rsid w:val="00306119"/>
    <w:rsid w:val="00310F95"/>
    <w:rsid w:val="00312439"/>
    <w:rsid w:val="003127E6"/>
    <w:rsid w:val="00312E6E"/>
    <w:rsid w:val="00312FF3"/>
    <w:rsid w:val="003138A1"/>
    <w:rsid w:val="00315CB8"/>
    <w:rsid w:val="003179ED"/>
    <w:rsid w:val="00320940"/>
    <w:rsid w:val="00322480"/>
    <w:rsid w:val="00324260"/>
    <w:rsid w:val="00324785"/>
    <w:rsid w:val="00324938"/>
    <w:rsid w:val="00325BC3"/>
    <w:rsid w:val="003278FD"/>
    <w:rsid w:val="00330048"/>
    <w:rsid w:val="00332715"/>
    <w:rsid w:val="00332FEB"/>
    <w:rsid w:val="00333AB9"/>
    <w:rsid w:val="003357CA"/>
    <w:rsid w:val="00335C69"/>
    <w:rsid w:val="003456BD"/>
    <w:rsid w:val="00345C6D"/>
    <w:rsid w:val="0034765C"/>
    <w:rsid w:val="003543EA"/>
    <w:rsid w:val="003545B2"/>
    <w:rsid w:val="003547E5"/>
    <w:rsid w:val="0035521E"/>
    <w:rsid w:val="00355320"/>
    <w:rsid w:val="00355C12"/>
    <w:rsid w:val="00356457"/>
    <w:rsid w:val="003569BD"/>
    <w:rsid w:val="00357FC9"/>
    <w:rsid w:val="003605E7"/>
    <w:rsid w:val="0036135D"/>
    <w:rsid w:val="00363736"/>
    <w:rsid w:val="00365A86"/>
    <w:rsid w:val="00365DE7"/>
    <w:rsid w:val="003668CF"/>
    <w:rsid w:val="00374A8F"/>
    <w:rsid w:val="0037559F"/>
    <w:rsid w:val="00375B28"/>
    <w:rsid w:val="0037675E"/>
    <w:rsid w:val="00377E94"/>
    <w:rsid w:val="00381090"/>
    <w:rsid w:val="00381CD7"/>
    <w:rsid w:val="00385BC3"/>
    <w:rsid w:val="003864F6"/>
    <w:rsid w:val="00390E31"/>
    <w:rsid w:val="00391737"/>
    <w:rsid w:val="0039344D"/>
    <w:rsid w:val="00393638"/>
    <w:rsid w:val="00396A04"/>
    <w:rsid w:val="00397570"/>
    <w:rsid w:val="003A3349"/>
    <w:rsid w:val="003A367D"/>
    <w:rsid w:val="003A6698"/>
    <w:rsid w:val="003A7570"/>
    <w:rsid w:val="003A7CA2"/>
    <w:rsid w:val="003A7CC0"/>
    <w:rsid w:val="003B02B3"/>
    <w:rsid w:val="003B09D4"/>
    <w:rsid w:val="003B0C77"/>
    <w:rsid w:val="003B2329"/>
    <w:rsid w:val="003B3A2C"/>
    <w:rsid w:val="003B3F0B"/>
    <w:rsid w:val="003B424D"/>
    <w:rsid w:val="003B68CD"/>
    <w:rsid w:val="003B6E10"/>
    <w:rsid w:val="003C1670"/>
    <w:rsid w:val="003C19BF"/>
    <w:rsid w:val="003C4D24"/>
    <w:rsid w:val="003C56CF"/>
    <w:rsid w:val="003C6B82"/>
    <w:rsid w:val="003C6D3A"/>
    <w:rsid w:val="003D092D"/>
    <w:rsid w:val="003D4A34"/>
    <w:rsid w:val="003D6235"/>
    <w:rsid w:val="003D6E70"/>
    <w:rsid w:val="003E080A"/>
    <w:rsid w:val="003E0917"/>
    <w:rsid w:val="003E358F"/>
    <w:rsid w:val="003E5FF2"/>
    <w:rsid w:val="003F046A"/>
    <w:rsid w:val="003F10F8"/>
    <w:rsid w:val="003F4EA4"/>
    <w:rsid w:val="003F5CF6"/>
    <w:rsid w:val="003F6ACA"/>
    <w:rsid w:val="003F7AF4"/>
    <w:rsid w:val="0040003B"/>
    <w:rsid w:val="004005AC"/>
    <w:rsid w:val="004007BE"/>
    <w:rsid w:val="00402A15"/>
    <w:rsid w:val="0040434F"/>
    <w:rsid w:val="00405F21"/>
    <w:rsid w:val="00406B07"/>
    <w:rsid w:val="00406FBE"/>
    <w:rsid w:val="004101B2"/>
    <w:rsid w:val="0041039C"/>
    <w:rsid w:val="004162F1"/>
    <w:rsid w:val="0042197D"/>
    <w:rsid w:val="00423ACF"/>
    <w:rsid w:val="004248D9"/>
    <w:rsid w:val="00425D30"/>
    <w:rsid w:val="00426482"/>
    <w:rsid w:val="004268A6"/>
    <w:rsid w:val="00427CE2"/>
    <w:rsid w:val="00434D7D"/>
    <w:rsid w:val="004353EE"/>
    <w:rsid w:val="00435F83"/>
    <w:rsid w:val="004362A6"/>
    <w:rsid w:val="00440136"/>
    <w:rsid w:val="0044348E"/>
    <w:rsid w:val="004449A8"/>
    <w:rsid w:val="00445A50"/>
    <w:rsid w:val="00446A81"/>
    <w:rsid w:val="00446B21"/>
    <w:rsid w:val="00446C51"/>
    <w:rsid w:val="004472F0"/>
    <w:rsid w:val="004516D9"/>
    <w:rsid w:val="00454D72"/>
    <w:rsid w:val="004555DD"/>
    <w:rsid w:val="00455719"/>
    <w:rsid w:val="004561E9"/>
    <w:rsid w:val="004562CD"/>
    <w:rsid w:val="0045656F"/>
    <w:rsid w:val="00456611"/>
    <w:rsid w:val="00460CE3"/>
    <w:rsid w:val="00461DC3"/>
    <w:rsid w:val="0046279C"/>
    <w:rsid w:val="00462C37"/>
    <w:rsid w:val="00463434"/>
    <w:rsid w:val="00463E98"/>
    <w:rsid w:val="00464AED"/>
    <w:rsid w:val="0046568A"/>
    <w:rsid w:val="00473382"/>
    <w:rsid w:val="00473DA2"/>
    <w:rsid w:val="00475C30"/>
    <w:rsid w:val="0047738F"/>
    <w:rsid w:val="00477DA1"/>
    <w:rsid w:val="004803F0"/>
    <w:rsid w:val="004806BE"/>
    <w:rsid w:val="00481A82"/>
    <w:rsid w:val="00486DF5"/>
    <w:rsid w:val="00492D8F"/>
    <w:rsid w:val="00493464"/>
    <w:rsid w:val="004939DF"/>
    <w:rsid w:val="0049586B"/>
    <w:rsid w:val="00495918"/>
    <w:rsid w:val="00495B40"/>
    <w:rsid w:val="004A2289"/>
    <w:rsid w:val="004A26E1"/>
    <w:rsid w:val="004A39EE"/>
    <w:rsid w:val="004A51ED"/>
    <w:rsid w:val="004A6FCC"/>
    <w:rsid w:val="004B13DF"/>
    <w:rsid w:val="004B1759"/>
    <w:rsid w:val="004B1ABD"/>
    <w:rsid w:val="004B23FC"/>
    <w:rsid w:val="004B254E"/>
    <w:rsid w:val="004B3C0A"/>
    <w:rsid w:val="004B3F38"/>
    <w:rsid w:val="004B64A6"/>
    <w:rsid w:val="004B7202"/>
    <w:rsid w:val="004B7CAD"/>
    <w:rsid w:val="004C0503"/>
    <w:rsid w:val="004C07F9"/>
    <w:rsid w:val="004C103A"/>
    <w:rsid w:val="004C1092"/>
    <w:rsid w:val="004C1338"/>
    <w:rsid w:val="004C7417"/>
    <w:rsid w:val="004D1B68"/>
    <w:rsid w:val="004D1FC0"/>
    <w:rsid w:val="004D210B"/>
    <w:rsid w:val="004D24D3"/>
    <w:rsid w:val="004D279E"/>
    <w:rsid w:val="004D27EE"/>
    <w:rsid w:val="004D5BA3"/>
    <w:rsid w:val="004D6ABC"/>
    <w:rsid w:val="004E1034"/>
    <w:rsid w:val="004E13AF"/>
    <w:rsid w:val="004E2CA0"/>
    <w:rsid w:val="004E40FD"/>
    <w:rsid w:val="004E789F"/>
    <w:rsid w:val="004F0E4B"/>
    <w:rsid w:val="004F1FFD"/>
    <w:rsid w:val="004F49AA"/>
    <w:rsid w:val="004F521A"/>
    <w:rsid w:val="004F551E"/>
    <w:rsid w:val="005005B8"/>
    <w:rsid w:val="0050109F"/>
    <w:rsid w:val="00505AF3"/>
    <w:rsid w:val="005066F6"/>
    <w:rsid w:val="00515920"/>
    <w:rsid w:val="00515AD8"/>
    <w:rsid w:val="00515DE0"/>
    <w:rsid w:val="00516E58"/>
    <w:rsid w:val="00520345"/>
    <w:rsid w:val="00520BE3"/>
    <w:rsid w:val="00522A8B"/>
    <w:rsid w:val="0052442F"/>
    <w:rsid w:val="00524BB2"/>
    <w:rsid w:val="00527866"/>
    <w:rsid w:val="00530AC8"/>
    <w:rsid w:val="0053145E"/>
    <w:rsid w:val="0053190B"/>
    <w:rsid w:val="005338D3"/>
    <w:rsid w:val="00533DD2"/>
    <w:rsid w:val="00533E19"/>
    <w:rsid w:val="0053559E"/>
    <w:rsid w:val="0053566B"/>
    <w:rsid w:val="00540381"/>
    <w:rsid w:val="00542411"/>
    <w:rsid w:val="00543A0A"/>
    <w:rsid w:val="005444AB"/>
    <w:rsid w:val="00546B5F"/>
    <w:rsid w:val="005514F5"/>
    <w:rsid w:val="00552EB0"/>
    <w:rsid w:val="00554716"/>
    <w:rsid w:val="00555D3D"/>
    <w:rsid w:val="00561803"/>
    <w:rsid w:val="00562652"/>
    <w:rsid w:val="0056358F"/>
    <w:rsid w:val="005649C0"/>
    <w:rsid w:val="00565752"/>
    <w:rsid w:val="00566969"/>
    <w:rsid w:val="00566EBF"/>
    <w:rsid w:val="00571569"/>
    <w:rsid w:val="00575BCE"/>
    <w:rsid w:val="00576CE9"/>
    <w:rsid w:val="0057730A"/>
    <w:rsid w:val="00577623"/>
    <w:rsid w:val="0058155C"/>
    <w:rsid w:val="00582047"/>
    <w:rsid w:val="00583D6C"/>
    <w:rsid w:val="00584568"/>
    <w:rsid w:val="00584BC8"/>
    <w:rsid w:val="00586890"/>
    <w:rsid w:val="00591469"/>
    <w:rsid w:val="00595C2D"/>
    <w:rsid w:val="005966F6"/>
    <w:rsid w:val="0059789A"/>
    <w:rsid w:val="00597910"/>
    <w:rsid w:val="005A133E"/>
    <w:rsid w:val="005A13C5"/>
    <w:rsid w:val="005A1D6C"/>
    <w:rsid w:val="005A2F37"/>
    <w:rsid w:val="005A2FF2"/>
    <w:rsid w:val="005A47ED"/>
    <w:rsid w:val="005A506E"/>
    <w:rsid w:val="005A5A3E"/>
    <w:rsid w:val="005A5D29"/>
    <w:rsid w:val="005A7989"/>
    <w:rsid w:val="005B02AB"/>
    <w:rsid w:val="005B17BE"/>
    <w:rsid w:val="005B18ED"/>
    <w:rsid w:val="005B31F7"/>
    <w:rsid w:val="005B3992"/>
    <w:rsid w:val="005B58FF"/>
    <w:rsid w:val="005B68C3"/>
    <w:rsid w:val="005B716F"/>
    <w:rsid w:val="005C204E"/>
    <w:rsid w:val="005C22D6"/>
    <w:rsid w:val="005C2F53"/>
    <w:rsid w:val="005C5DD4"/>
    <w:rsid w:val="005D0029"/>
    <w:rsid w:val="005D05C7"/>
    <w:rsid w:val="005D33F6"/>
    <w:rsid w:val="005D3847"/>
    <w:rsid w:val="005D4320"/>
    <w:rsid w:val="005D4B0F"/>
    <w:rsid w:val="005D4F6E"/>
    <w:rsid w:val="005D66B3"/>
    <w:rsid w:val="005D6B6E"/>
    <w:rsid w:val="005E12E5"/>
    <w:rsid w:val="005E24DC"/>
    <w:rsid w:val="005E28B9"/>
    <w:rsid w:val="005E318B"/>
    <w:rsid w:val="005E34BD"/>
    <w:rsid w:val="005E494D"/>
    <w:rsid w:val="005E662E"/>
    <w:rsid w:val="005E6BD7"/>
    <w:rsid w:val="005E71B7"/>
    <w:rsid w:val="005F0EF5"/>
    <w:rsid w:val="005F27A0"/>
    <w:rsid w:val="005F2815"/>
    <w:rsid w:val="005F3CF4"/>
    <w:rsid w:val="005F6E40"/>
    <w:rsid w:val="00601913"/>
    <w:rsid w:val="0060421A"/>
    <w:rsid w:val="00611340"/>
    <w:rsid w:val="00611644"/>
    <w:rsid w:val="0061330D"/>
    <w:rsid w:val="00615AA1"/>
    <w:rsid w:val="00615FE9"/>
    <w:rsid w:val="006174FC"/>
    <w:rsid w:val="0062007D"/>
    <w:rsid w:val="006234A3"/>
    <w:rsid w:val="00623B34"/>
    <w:rsid w:val="00624E3D"/>
    <w:rsid w:val="006259CC"/>
    <w:rsid w:val="006308CD"/>
    <w:rsid w:val="006314DE"/>
    <w:rsid w:val="00634816"/>
    <w:rsid w:val="00634CC1"/>
    <w:rsid w:val="00635197"/>
    <w:rsid w:val="0063636E"/>
    <w:rsid w:val="006363AA"/>
    <w:rsid w:val="0063758C"/>
    <w:rsid w:val="00637985"/>
    <w:rsid w:val="00642FB2"/>
    <w:rsid w:val="00643DFD"/>
    <w:rsid w:val="0064474A"/>
    <w:rsid w:val="006449AD"/>
    <w:rsid w:val="00644A56"/>
    <w:rsid w:val="00644DAA"/>
    <w:rsid w:val="00645209"/>
    <w:rsid w:val="00646267"/>
    <w:rsid w:val="006467F1"/>
    <w:rsid w:val="00646A8A"/>
    <w:rsid w:val="00647401"/>
    <w:rsid w:val="0064777F"/>
    <w:rsid w:val="00647931"/>
    <w:rsid w:val="00650169"/>
    <w:rsid w:val="00652918"/>
    <w:rsid w:val="00652E1B"/>
    <w:rsid w:val="00652E45"/>
    <w:rsid w:val="00653F32"/>
    <w:rsid w:val="006556FA"/>
    <w:rsid w:val="00656BD4"/>
    <w:rsid w:val="00657250"/>
    <w:rsid w:val="006600DC"/>
    <w:rsid w:val="00660605"/>
    <w:rsid w:val="006622B7"/>
    <w:rsid w:val="00662E0D"/>
    <w:rsid w:val="0066383C"/>
    <w:rsid w:val="0066428B"/>
    <w:rsid w:val="00664C4E"/>
    <w:rsid w:val="00665BFE"/>
    <w:rsid w:val="00670C79"/>
    <w:rsid w:val="00670DA7"/>
    <w:rsid w:val="00671536"/>
    <w:rsid w:val="0067280E"/>
    <w:rsid w:val="0067373F"/>
    <w:rsid w:val="006737CE"/>
    <w:rsid w:val="00674168"/>
    <w:rsid w:val="00674D58"/>
    <w:rsid w:val="00674E7A"/>
    <w:rsid w:val="0067569B"/>
    <w:rsid w:val="00677B92"/>
    <w:rsid w:val="00680184"/>
    <w:rsid w:val="00680196"/>
    <w:rsid w:val="006801F0"/>
    <w:rsid w:val="006803EA"/>
    <w:rsid w:val="006813E4"/>
    <w:rsid w:val="00683D39"/>
    <w:rsid w:val="00687A8C"/>
    <w:rsid w:val="00693450"/>
    <w:rsid w:val="00694B36"/>
    <w:rsid w:val="00695912"/>
    <w:rsid w:val="00696435"/>
    <w:rsid w:val="006964C3"/>
    <w:rsid w:val="00697C9C"/>
    <w:rsid w:val="006A53C9"/>
    <w:rsid w:val="006B0230"/>
    <w:rsid w:val="006B075E"/>
    <w:rsid w:val="006B0F3D"/>
    <w:rsid w:val="006B135C"/>
    <w:rsid w:val="006C1EBB"/>
    <w:rsid w:val="006C3986"/>
    <w:rsid w:val="006C4F78"/>
    <w:rsid w:val="006C63AE"/>
    <w:rsid w:val="006C63C2"/>
    <w:rsid w:val="006C711B"/>
    <w:rsid w:val="006D07D6"/>
    <w:rsid w:val="006D09F8"/>
    <w:rsid w:val="006D2138"/>
    <w:rsid w:val="006D37D0"/>
    <w:rsid w:val="006D46B5"/>
    <w:rsid w:val="006D52AD"/>
    <w:rsid w:val="006E1DDD"/>
    <w:rsid w:val="006E48E4"/>
    <w:rsid w:val="006E4FBF"/>
    <w:rsid w:val="006E6287"/>
    <w:rsid w:val="006E718D"/>
    <w:rsid w:val="006E7C08"/>
    <w:rsid w:val="006F1F12"/>
    <w:rsid w:val="006F28C3"/>
    <w:rsid w:val="006F2A8A"/>
    <w:rsid w:val="006F2F9D"/>
    <w:rsid w:val="006F350D"/>
    <w:rsid w:val="006F4543"/>
    <w:rsid w:val="006F57C0"/>
    <w:rsid w:val="006F66B1"/>
    <w:rsid w:val="006F72EC"/>
    <w:rsid w:val="006F7D98"/>
    <w:rsid w:val="007050B8"/>
    <w:rsid w:val="00705F15"/>
    <w:rsid w:val="00707949"/>
    <w:rsid w:val="007118D7"/>
    <w:rsid w:val="00712405"/>
    <w:rsid w:val="00713515"/>
    <w:rsid w:val="00720217"/>
    <w:rsid w:val="00721E13"/>
    <w:rsid w:val="00723783"/>
    <w:rsid w:val="00723AC4"/>
    <w:rsid w:val="00723BA7"/>
    <w:rsid w:val="00723E83"/>
    <w:rsid w:val="0072479B"/>
    <w:rsid w:val="00724EF9"/>
    <w:rsid w:val="0072598F"/>
    <w:rsid w:val="00725A79"/>
    <w:rsid w:val="007263F0"/>
    <w:rsid w:val="00726D70"/>
    <w:rsid w:val="00727AF1"/>
    <w:rsid w:val="00727BB5"/>
    <w:rsid w:val="00727F76"/>
    <w:rsid w:val="00730AD6"/>
    <w:rsid w:val="007314E7"/>
    <w:rsid w:val="00735154"/>
    <w:rsid w:val="007359E9"/>
    <w:rsid w:val="00736318"/>
    <w:rsid w:val="00741AA7"/>
    <w:rsid w:val="00742BEF"/>
    <w:rsid w:val="0074315A"/>
    <w:rsid w:val="007478F2"/>
    <w:rsid w:val="00752B06"/>
    <w:rsid w:val="00757DD1"/>
    <w:rsid w:val="00757F29"/>
    <w:rsid w:val="007600AE"/>
    <w:rsid w:val="00760C9F"/>
    <w:rsid w:val="0076289B"/>
    <w:rsid w:val="00763CC1"/>
    <w:rsid w:val="007640CC"/>
    <w:rsid w:val="007642C7"/>
    <w:rsid w:val="00764804"/>
    <w:rsid w:val="007678A9"/>
    <w:rsid w:val="00770E01"/>
    <w:rsid w:val="00771F93"/>
    <w:rsid w:val="00774611"/>
    <w:rsid w:val="0077582F"/>
    <w:rsid w:val="00775875"/>
    <w:rsid w:val="0078437B"/>
    <w:rsid w:val="00784848"/>
    <w:rsid w:val="00784A78"/>
    <w:rsid w:val="00784C56"/>
    <w:rsid w:val="00785492"/>
    <w:rsid w:val="00786699"/>
    <w:rsid w:val="007872E4"/>
    <w:rsid w:val="00787457"/>
    <w:rsid w:val="00787A65"/>
    <w:rsid w:val="007912A9"/>
    <w:rsid w:val="007928CE"/>
    <w:rsid w:val="00793B14"/>
    <w:rsid w:val="007949E0"/>
    <w:rsid w:val="00794CB0"/>
    <w:rsid w:val="00795327"/>
    <w:rsid w:val="00795ECB"/>
    <w:rsid w:val="00797A35"/>
    <w:rsid w:val="007A092D"/>
    <w:rsid w:val="007A20E4"/>
    <w:rsid w:val="007A28A7"/>
    <w:rsid w:val="007A294C"/>
    <w:rsid w:val="007A355E"/>
    <w:rsid w:val="007A4087"/>
    <w:rsid w:val="007A506B"/>
    <w:rsid w:val="007A5914"/>
    <w:rsid w:val="007A5DF7"/>
    <w:rsid w:val="007B051C"/>
    <w:rsid w:val="007B37F8"/>
    <w:rsid w:val="007B5C1D"/>
    <w:rsid w:val="007B66A7"/>
    <w:rsid w:val="007C16BF"/>
    <w:rsid w:val="007C358C"/>
    <w:rsid w:val="007C3CB1"/>
    <w:rsid w:val="007D1532"/>
    <w:rsid w:val="007D26F6"/>
    <w:rsid w:val="007D383B"/>
    <w:rsid w:val="007D59C7"/>
    <w:rsid w:val="007D5B0F"/>
    <w:rsid w:val="007D6BE6"/>
    <w:rsid w:val="007E2B3E"/>
    <w:rsid w:val="007E2F46"/>
    <w:rsid w:val="007E315C"/>
    <w:rsid w:val="007E6D8E"/>
    <w:rsid w:val="007E7000"/>
    <w:rsid w:val="007F14F5"/>
    <w:rsid w:val="007F5190"/>
    <w:rsid w:val="007F7226"/>
    <w:rsid w:val="0080159B"/>
    <w:rsid w:val="008041B9"/>
    <w:rsid w:val="008042E9"/>
    <w:rsid w:val="0080435E"/>
    <w:rsid w:val="00805594"/>
    <w:rsid w:val="00806A0E"/>
    <w:rsid w:val="00810336"/>
    <w:rsid w:val="00812F1A"/>
    <w:rsid w:val="008147DC"/>
    <w:rsid w:val="00816500"/>
    <w:rsid w:val="00820027"/>
    <w:rsid w:val="00820EC8"/>
    <w:rsid w:val="00821135"/>
    <w:rsid w:val="00821A2E"/>
    <w:rsid w:val="00821E21"/>
    <w:rsid w:val="00822951"/>
    <w:rsid w:val="00823B75"/>
    <w:rsid w:val="00823B92"/>
    <w:rsid w:val="00824F0E"/>
    <w:rsid w:val="008259E4"/>
    <w:rsid w:val="00826EED"/>
    <w:rsid w:val="00830CBA"/>
    <w:rsid w:val="00831008"/>
    <w:rsid w:val="008311B3"/>
    <w:rsid w:val="00833990"/>
    <w:rsid w:val="008339F9"/>
    <w:rsid w:val="00833F5C"/>
    <w:rsid w:val="00834D8E"/>
    <w:rsid w:val="00837BAB"/>
    <w:rsid w:val="00842DDA"/>
    <w:rsid w:val="00843606"/>
    <w:rsid w:val="008438F3"/>
    <w:rsid w:val="00843E24"/>
    <w:rsid w:val="008441CD"/>
    <w:rsid w:val="0084634B"/>
    <w:rsid w:val="0084657A"/>
    <w:rsid w:val="00847EA6"/>
    <w:rsid w:val="00850946"/>
    <w:rsid w:val="008532C2"/>
    <w:rsid w:val="00857F6E"/>
    <w:rsid w:val="00861374"/>
    <w:rsid w:val="008619CE"/>
    <w:rsid w:val="00862B66"/>
    <w:rsid w:val="008705E3"/>
    <w:rsid w:val="00870635"/>
    <w:rsid w:val="0087248D"/>
    <w:rsid w:val="00873608"/>
    <w:rsid w:val="00873E3D"/>
    <w:rsid w:val="008752C0"/>
    <w:rsid w:val="00875BCB"/>
    <w:rsid w:val="00876521"/>
    <w:rsid w:val="00880D07"/>
    <w:rsid w:val="00881537"/>
    <w:rsid w:val="00883375"/>
    <w:rsid w:val="008838DB"/>
    <w:rsid w:val="0088623E"/>
    <w:rsid w:val="0089074E"/>
    <w:rsid w:val="008909E5"/>
    <w:rsid w:val="00890D08"/>
    <w:rsid w:val="00894A0A"/>
    <w:rsid w:val="00894B05"/>
    <w:rsid w:val="008955BC"/>
    <w:rsid w:val="008965DD"/>
    <w:rsid w:val="008975E9"/>
    <w:rsid w:val="008A1CD6"/>
    <w:rsid w:val="008A2683"/>
    <w:rsid w:val="008A2707"/>
    <w:rsid w:val="008A2CEF"/>
    <w:rsid w:val="008A3EC9"/>
    <w:rsid w:val="008A44AD"/>
    <w:rsid w:val="008A45B5"/>
    <w:rsid w:val="008A4B30"/>
    <w:rsid w:val="008A5644"/>
    <w:rsid w:val="008A6377"/>
    <w:rsid w:val="008B186A"/>
    <w:rsid w:val="008B2AA3"/>
    <w:rsid w:val="008B33C1"/>
    <w:rsid w:val="008B4F8B"/>
    <w:rsid w:val="008B707D"/>
    <w:rsid w:val="008B7A75"/>
    <w:rsid w:val="008C1811"/>
    <w:rsid w:val="008C2535"/>
    <w:rsid w:val="008C2751"/>
    <w:rsid w:val="008C471E"/>
    <w:rsid w:val="008C6322"/>
    <w:rsid w:val="008C7047"/>
    <w:rsid w:val="008D050C"/>
    <w:rsid w:val="008D0751"/>
    <w:rsid w:val="008D3085"/>
    <w:rsid w:val="008D498E"/>
    <w:rsid w:val="008D4B12"/>
    <w:rsid w:val="008E14AF"/>
    <w:rsid w:val="008E1534"/>
    <w:rsid w:val="008E3D03"/>
    <w:rsid w:val="008E43D1"/>
    <w:rsid w:val="008E48D1"/>
    <w:rsid w:val="008E534F"/>
    <w:rsid w:val="008E56F8"/>
    <w:rsid w:val="008E5DAF"/>
    <w:rsid w:val="008E61EE"/>
    <w:rsid w:val="008E64CB"/>
    <w:rsid w:val="008F06E5"/>
    <w:rsid w:val="008F29CC"/>
    <w:rsid w:val="008F2D62"/>
    <w:rsid w:val="008F32CD"/>
    <w:rsid w:val="008F3303"/>
    <w:rsid w:val="008F35A0"/>
    <w:rsid w:val="008F41E3"/>
    <w:rsid w:val="008F4914"/>
    <w:rsid w:val="008F6907"/>
    <w:rsid w:val="008F7D4B"/>
    <w:rsid w:val="009009A6"/>
    <w:rsid w:val="00901A7B"/>
    <w:rsid w:val="0090277D"/>
    <w:rsid w:val="0090418B"/>
    <w:rsid w:val="00905E05"/>
    <w:rsid w:val="009064F7"/>
    <w:rsid w:val="009079AE"/>
    <w:rsid w:val="00907A27"/>
    <w:rsid w:val="00907A95"/>
    <w:rsid w:val="00907AEA"/>
    <w:rsid w:val="00910134"/>
    <w:rsid w:val="00911BC0"/>
    <w:rsid w:val="0091403A"/>
    <w:rsid w:val="00915DA8"/>
    <w:rsid w:val="00916869"/>
    <w:rsid w:val="00916B41"/>
    <w:rsid w:val="009176B0"/>
    <w:rsid w:val="0092117E"/>
    <w:rsid w:val="00922398"/>
    <w:rsid w:val="00923B3E"/>
    <w:rsid w:val="009240BF"/>
    <w:rsid w:val="00924EC8"/>
    <w:rsid w:val="0092665F"/>
    <w:rsid w:val="00926ABC"/>
    <w:rsid w:val="009276B0"/>
    <w:rsid w:val="00931AF0"/>
    <w:rsid w:val="009359F1"/>
    <w:rsid w:val="00935C77"/>
    <w:rsid w:val="00935D53"/>
    <w:rsid w:val="00936CC4"/>
    <w:rsid w:val="00937743"/>
    <w:rsid w:val="009377E2"/>
    <w:rsid w:val="009404CF"/>
    <w:rsid w:val="00944ABA"/>
    <w:rsid w:val="00947EA6"/>
    <w:rsid w:val="00953180"/>
    <w:rsid w:val="00954311"/>
    <w:rsid w:val="0095573B"/>
    <w:rsid w:val="0095587D"/>
    <w:rsid w:val="00956192"/>
    <w:rsid w:val="009561EC"/>
    <w:rsid w:val="00965DE3"/>
    <w:rsid w:val="0096680B"/>
    <w:rsid w:val="0096697E"/>
    <w:rsid w:val="00966D02"/>
    <w:rsid w:val="009678EA"/>
    <w:rsid w:val="00972192"/>
    <w:rsid w:val="00973701"/>
    <w:rsid w:val="00973B5C"/>
    <w:rsid w:val="00973DEE"/>
    <w:rsid w:val="00975D7D"/>
    <w:rsid w:val="00976515"/>
    <w:rsid w:val="00976840"/>
    <w:rsid w:val="00980148"/>
    <w:rsid w:val="00980800"/>
    <w:rsid w:val="009817E8"/>
    <w:rsid w:val="00981C86"/>
    <w:rsid w:val="00982B95"/>
    <w:rsid w:val="009833F1"/>
    <w:rsid w:val="00983417"/>
    <w:rsid w:val="00983CAC"/>
    <w:rsid w:val="00985AB5"/>
    <w:rsid w:val="00987A22"/>
    <w:rsid w:val="00990092"/>
    <w:rsid w:val="00990429"/>
    <w:rsid w:val="00991900"/>
    <w:rsid w:val="0099350E"/>
    <w:rsid w:val="00996E8E"/>
    <w:rsid w:val="009A06A1"/>
    <w:rsid w:val="009A665B"/>
    <w:rsid w:val="009A6CC6"/>
    <w:rsid w:val="009A76F9"/>
    <w:rsid w:val="009B23EA"/>
    <w:rsid w:val="009B3290"/>
    <w:rsid w:val="009B381E"/>
    <w:rsid w:val="009B71DC"/>
    <w:rsid w:val="009C238D"/>
    <w:rsid w:val="009C25D9"/>
    <w:rsid w:val="009C2752"/>
    <w:rsid w:val="009C2B24"/>
    <w:rsid w:val="009C2D1E"/>
    <w:rsid w:val="009C44A4"/>
    <w:rsid w:val="009C5EAE"/>
    <w:rsid w:val="009C6624"/>
    <w:rsid w:val="009C7327"/>
    <w:rsid w:val="009D1BA6"/>
    <w:rsid w:val="009D4DAF"/>
    <w:rsid w:val="009D4F3B"/>
    <w:rsid w:val="009D5452"/>
    <w:rsid w:val="009D5A94"/>
    <w:rsid w:val="009D6969"/>
    <w:rsid w:val="009E1366"/>
    <w:rsid w:val="009E29C9"/>
    <w:rsid w:val="009E4949"/>
    <w:rsid w:val="009E5884"/>
    <w:rsid w:val="009E58ED"/>
    <w:rsid w:val="009E6374"/>
    <w:rsid w:val="009E63F1"/>
    <w:rsid w:val="009E6591"/>
    <w:rsid w:val="009F06B0"/>
    <w:rsid w:val="009F22AF"/>
    <w:rsid w:val="009F327C"/>
    <w:rsid w:val="009F366F"/>
    <w:rsid w:val="009F4CAE"/>
    <w:rsid w:val="009F54C3"/>
    <w:rsid w:val="009F799C"/>
    <w:rsid w:val="00A00346"/>
    <w:rsid w:val="00A0637C"/>
    <w:rsid w:val="00A07A20"/>
    <w:rsid w:val="00A112E7"/>
    <w:rsid w:val="00A17529"/>
    <w:rsid w:val="00A17682"/>
    <w:rsid w:val="00A20532"/>
    <w:rsid w:val="00A20814"/>
    <w:rsid w:val="00A20D72"/>
    <w:rsid w:val="00A225D0"/>
    <w:rsid w:val="00A24686"/>
    <w:rsid w:val="00A25593"/>
    <w:rsid w:val="00A27068"/>
    <w:rsid w:val="00A2708A"/>
    <w:rsid w:val="00A33926"/>
    <w:rsid w:val="00A34796"/>
    <w:rsid w:val="00A35590"/>
    <w:rsid w:val="00A401BA"/>
    <w:rsid w:val="00A4290C"/>
    <w:rsid w:val="00A42D45"/>
    <w:rsid w:val="00A44D23"/>
    <w:rsid w:val="00A503B1"/>
    <w:rsid w:val="00A52229"/>
    <w:rsid w:val="00A54F6C"/>
    <w:rsid w:val="00A56581"/>
    <w:rsid w:val="00A56AF1"/>
    <w:rsid w:val="00A60FAE"/>
    <w:rsid w:val="00A61B9E"/>
    <w:rsid w:val="00A63839"/>
    <w:rsid w:val="00A6445C"/>
    <w:rsid w:val="00A6751F"/>
    <w:rsid w:val="00A70147"/>
    <w:rsid w:val="00A73ACA"/>
    <w:rsid w:val="00A749BF"/>
    <w:rsid w:val="00A74CC6"/>
    <w:rsid w:val="00A75729"/>
    <w:rsid w:val="00A76B01"/>
    <w:rsid w:val="00A76DC3"/>
    <w:rsid w:val="00A77929"/>
    <w:rsid w:val="00A80E81"/>
    <w:rsid w:val="00A822B2"/>
    <w:rsid w:val="00A82648"/>
    <w:rsid w:val="00A82B71"/>
    <w:rsid w:val="00A83729"/>
    <w:rsid w:val="00A85D7B"/>
    <w:rsid w:val="00A87739"/>
    <w:rsid w:val="00A90503"/>
    <w:rsid w:val="00A93216"/>
    <w:rsid w:val="00A93F34"/>
    <w:rsid w:val="00A94B13"/>
    <w:rsid w:val="00A96C0B"/>
    <w:rsid w:val="00A96D1B"/>
    <w:rsid w:val="00A97519"/>
    <w:rsid w:val="00A979ED"/>
    <w:rsid w:val="00AA0BC7"/>
    <w:rsid w:val="00AA203D"/>
    <w:rsid w:val="00AA279E"/>
    <w:rsid w:val="00AA2D93"/>
    <w:rsid w:val="00AA537E"/>
    <w:rsid w:val="00AA59A0"/>
    <w:rsid w:val="00AA6FD4"/>
    <w:rsid w:val="00AB0812"/>
    <w:rsid w:val="00AB2920"/>
    <w:rsid w:val="00AB385C"/>
    <w:rsid w:val="00AC0A94"/>
    <w:rsid w:val="00AC1A4B"/>
    <w:rsid w:val="00AC3642"/>
    <w:rsid w:val="00AD0126"/>
    <w:rsid w:val="00AD01C2"/>
    <w:rsid w:val="00AD0FCB"/>
    <w:rsid w:val="00AD159C"/>
    <w:rsid w:val="00AD320D"/>
    <w:rsid w:val="00AD4DD2"/>
    <w:rsid w:val="00AE1333"/>
    <w:rsid w:val="00AE6FA7"/>
    <w:rsid w:val="00AE7035"/>
    <w:rsid w:val="00AE7757"/>
    <w:rsid w:val="00AF060E"/>
    <w:rsid w:val="00AF2D42"/>
    <w:rsid w:val="00AF569A"/>
    <w:rsid w:val="00AF572D"/>
    <w:rsid w:val="00AF5EEF"/>
    <w:rsid w:val="00AF79CB"/>
    <w:rsid w:val="00AF7F1E"/>
    <w:rsid w:val="00B012CD"/>
    <w:rsid w:val="00B01639"/>
    <w:rsid w:val="00B03B71"/>
    <w:rsid w:val="00B07D81"/>
    <w:rsid w:val="00B15C71"/>
    <w:rsid w:val="00B166B5"/>
    <w:rsid w:val="00B174D2"/>
    <w:rsid w:val="00B216CF"/>
    <w:rsid w:val="00B21946"/>
    <w:rsid w:val="00B22FAA"/>
    <w:rsid w:val="00B246B4"/>
    <w:rsid w:val="00B262C8"/>
    <w:rsid w:val="00B26DB6"/>
    <w:rsid w:val="00B3015E"/>
    <w:rsid w:val="00B30D09"/>
    <w:rsid w:val="00B34382"/>
    <w:rsid w:val="00B34C51"/>
    <w:rsid w:val="00B3525C"/>
    <w:rsid w:val="00B36020"/>
    <w:rsid w:val="00B3735E"/>
    <w:rsid w:val="00B41404"/>
    <w:rsid w:val="00B41EA1"/>
    <w:rsid w:val="00B42A83"/>
    <w:rsid w:val="00B452A3"/>
    <w:rsid w:val="00B4537B"/>
    <w:rsid w:val="00B505F9"/>
    <w:rsid w:val="00B50E2D"/>
    <w:rsid w:val="00B510BF"/>
    <w:rsid w:val="00B523ED"/>
    <w:rsid w:val="00B5244A"/>
    <w:rsid w:val="00B531AB"/>
    <w:rsid w:val="00B53C34"/>
    <w:rsid w:val="00B651E4"/>
    <w:rsid w:val="00B65791"/>
    <w:rsid w:val="00B664E9"/>
    <w:rsid w:val="00B66A36"/>
    <w:rsid w:val="00B72438"/>
    <w:rsid w:val="00B72BAB"/>
    <w:rsid w:val="00B74559"/>
    <w:rsid w:val="00B76557"/>
    <w:rsid w:val="00B85489"/>
    <w:rsid w:val="00B87179"/>
    <w:rsid w:val="00B9048A"/>
    <w:rsid w:val="00B906E1"/>
    <w:rsid w:val="00B93B50"/>
    <w:rsid w:val="00B9412E"/>
    <w:rsid w:val="00B951FF"/>
    <w:rsid w:val="00BA000A"/>
    <w:rsid w:val="00BA0F40"/>
    <w:rsid w:val="00BA118B"/>
    <w:rsid w:val="00BA328B"/>
    <w:rsid w:val="00BA3D5F"/>
    <w:rsid w:val="00BA47F0"/>
    <w:rsid w:val="00BA4E0F"/>
    <w:rsid w:val="00BB0782"/>
    <w:rsid w:val="00BB0DE5"/>
    <w:rsid w:val="00BB1C7E"/>
    <w:rsid w:val="00BB2E04"/>
    <w:rsid w:val="00BB3000"/>
    <w:rsid w:val="00BB34E3"/>
    <w:rsid w:val="00BB5721"/>
    <w:rsid w:val="00BB69DB"/>
    <w:rsid w:val="00BB6F82"/>
    <w:rsid w:val="00BC2BA2"/>
    <w:rsid w:val="00BC2ED4"/>
    <w:rsid w:val="00BC36B3"/>
    <w:rsid w:val="00BC6BCA"/>
    <w:rsid w:val="00BD0693"/>
    <w:rsid w:val="00BD08E5"/>
    <w:rsid w:val="00BD0CA8"/>
    <w:rsid w:val="00BD0CCE"/>
    <w:rsid w:val="00BD0F2D"/>
    <w:rsid w:val="00BD1014"/>
    <w:rsid w:val="00BD396E"/>
    <w:rsid w:val="00BD4914"/>
    <w:rsid w:val="00BD55B7"/>
    <w:rsid w:val="00BD659A"/>
    <w:rsid w:val="00BD7AF5"/>
    <w:rsid w:val="00BD7F12"/>
    <w:rsid w:val="00BE0572"/>
    <w:rsid w:val="00BE0F0E"/>
    <w:rsid w:val="00BE20C3"/>
    <w:rsid w:val="00BE2331"/>
    <w:rsid w:val="00BE470D"/>
    <w:rsid w:val="00BE4A53"/>
    <w:rsid w:val="00BE7875"/>
    <w:rsid w:val="00BF0642"/>
    <w:rsid w:val="00BF1223"/>
    <w:rsid w:val="00BF21B1"/>
    <w:rsid w:val="00BF29AC"/>
    <w:rsid w:val="00BF4912"/>
    <w:rsid w:val="00BF4B8F"/>
    <w:rsid w:val="00C000FD"/>
    <w:rsid w:val="00C005BC"/>
    <w:rsid w:val="00C01DF1"/>
    <w:rsid w:val="00C04D83"/>
    <w:rsid w:val="00C1070D"/>
    <w:rsid w:val="00C10B3B"/>
    <w:rsid w:val="00C11ECE"/>
    <w:rsid w:val="00C129DE"/>
    <w:rsid w:val="00C150BB"/>
    <w:rsid w:val="00C16B79"/>
    <w:rsid w:val="00C2099E"/>
    <w:rsid w:val="00C224C0"/>
    <w:rsid w:val="00C22816"/>
    <w:rsid w:val="00C23CF0"/>
    <w:rsid w:val="00C249F4"/>
    <w:rsid w:val="00C31272"/>
    <w:rsid w:val="00C31BB5"/>
    <w:rsid w:val="00C34562"/>
    <w:rsid w:val="00C369F9"/>
    <w:rsid w:val="00C47AA5"/>
    <w:rsid w:val="00C51826"/>
    <w:rsid w:val="00C525CD"/>
    <w:rsid w:val="00C52A04"/>
    <w:rsid w:val="00C52F58"/>
    <w:rsid w:val="00C5468F"/>
    <w:rsid w:val="00C551BE"/>
    <w:rsid w:val="00C55F9D"/>
    <w:rsid w:val="00C579D5"/>
    <w:rsid w:val="00C57FF1"/>
    <w:rsid w:val="00C60145"/>
    <w:rsid w:val="00C60836"/>
    <w:rsid w:val="00C60B49"/>
    <w:rsid w:val="00C61564"/>
    <w:rsid w:val="00C6168E"/>
    <w:rsid w:val="00C62223"/>
    <w:rsid w:val="00C63544"/>
    <w:rsid w:val="00C715BD"/>
    <w:rsid w:val="00C7228F"/>
    <w:rsid w:val="00C76128"/>
    <w:rsid w:val="00C82776"/>
    <w:rsid w:val="00C8303E"/>
    <w:rsid w:val="00C83C7F"/>
    <w:rsid w:val="00C84EC9"/>
    <w:rsid w:val="00C85731"/>
    <w:rsid w:val="00C8685C"/>
    <w:rsid w:val="00C87826"/>
    <w:rsid w:val="00C900B9"/>
    <w:rsid w:val="00C9066A"/>
    <w:rsid w:val="00C90AE0"/>
    <w:rsid w:val="00C926AE"/>
    <w:rsid w:val="00C9400D"/>
    <w:rsid w:val="00C9595A"/>
    <w:rsid w:val="00CA0FE5"/>
    <w:rsid w:val="00CA1B3B"/>
    <w:rsid w:val="00CA560E"/>
    <w:rsid w:val="00CA5CC9"/>
    <w:rsid w:val="00CA723F"/>
    <w:rsid w:val="00CB09CE"/>
    <w:rsid w:val="00CB1B1A"/>
    <w:rsid w:val="00CB2A6E"/>
    <w:rsid w:val="00CB6C17"/>
    <w:rsid w:val="00CB7304"/>
    <w:rsid w:val="00CB78C4"/>
    <w:rsid w:val="00CC0897"/>
    <w:rsid w:val="00CC1CB4"/>
    <w:rsid w:val="00CC3478"/>
    <w:rsid w:val="00CC7D0A"/>
    <w:rsid w:val="00CD02AB"/>
    <w:rsid w:val="00CD13F8"/>
    <w:rsid w:val="00CD28D5"/>
    <w:rsid w:val="00CD2EA0"/>
    <w:rsid w:val="00CD330F"/>
    <w:rsid w:val="00CD4123"/>
    <w:rsid w:val="00CD6788"/>
    <w:rsid w:val="00CD681E"/>
    <w:rsid w:val="00CE11F6"/>
    <w:rsid w:val="00CE2716"/>
    <w:rsid w:val="00CE2DFA"/>
    <w:rsid w:val="00CE2F2A"/>
    <w:rsid w:val="00CE461E"/>
    <w:rsid w:val="00CE699E"/>
    <w:rsid w:val="00CE7B3A"/>
    <w:rsid w:val="00CF00D7"/>
    <w:rsid w:val="00CF01F6"/>
    <w:rsid w:val="00CF2C6A"/>
    <w:rsid w:val="00CF5CDF"/>
    <w:rsid w:val="00CF6DC4"/>
    <w:rsid w:val="00CF76B3"/>
    <w:rsid w:val="00CF77BF"/>
    <w:rsid w:val="00CF7D07"/>
    <w:rsid w:val="00D00BE7"/>
    <w:rsid w:val="00D00E94"/>
    <w:rsid w:val="00D03109"/>
    <w:rsid w:val="00D03A53"/>
    <w:rsid w:val="00D04219"/>
    <w:rsid w:val="00D042B9"/>
    <w:rsid w:val="00D075C8"/>
    <w:rsid w:val="00D100AF"/>
    <w:rsid w:val="00D100F6"/>
    <w:rsid w:val="00D11A4B"/>
    <w:rsid w:val="00D14823"/>
    <w:rsid w:val="00D17BFC"/>
    <w:rsid w:val="00D21F05"/>
    <w:rsid w:val="00D24521"/>
    <w:rsid w:val="00D250E4"/>
    <w:rsid w:val="00D270E9"/>
    <w:rsid w:val="00D27C6F"/>
    <w:rsid w:val="00D30B66"/>
    <w:rsid w:val="00D31842"/>
    <w:rsid w:val="00D31C14"/>
    <w:rsid w:val="00D35098"/>
    <w:rsid w:val="00D36F00"/>
    <w:rsid w:val="00D40A25"/>
    <w:rsid w:val="00D42F42"/>
    <w:rsid w:val="00D43767"/>
    <w:rsid w:val="00D4461C"/>
    <w:rsid w:val="00D478F6"/>
    <w:rsid w:val="00D501A1"/>
    <w:rsid w:val="00D52251"/>
    <w:rsid w:val="00D60512"/>
    <w:rsid w:val="00D60B36"/>
    <w:rsid w:val="00D61D54"/>
    <w:rsid w:val="00D63CCB"/>
    <w:rsid w:val="00D65446"/>
    <w:rsid w:val="00D65E59"/>
    <w:rsid w:val="00D67480"/>
    <w:rsid w:val="00D7055A"/>
    <w:rsid w:val="00D70A75"/>
    <w:rsid w:val="00D72704"/>
    <w:rsid w:val="00D72A31"/>
    <w:rsid w:val="00D73D1F"/>
    <w:rsid w:val="00D7465B"/>
    <w:rsid w:val="00D8203D"/>
    <w:rsid w:val="00D85741"/>
    <w:rsid w:val="00D903E2"/>
    <w:rsid w:val="00D9055C"/>
    <w:rsid w:val="00D90A45"/>
    <w:rsid w:val="00D90C50"/>
    <w:rsid w:val="00D92F9F"/>
    <w:rsid w:val="00D93260"/>
    <w:rsid w:val="00D934F0"/>
    <w:rsid w:val="00D94754"/>
    <w:rsid w:val="00D94C5D"/>
    <w:rsid w:val="00D95E2C"/>
    <w:rsid w:val="00D977EB"/>
    <w:rsid w:val="00DA3DF4"/>
    <w:rsid w:val="00DA48DA"/>
    <w:rsid w:val="00DA6976"/>
    <w:rsid w:val="00DA7ECA"/>
    <w:rsid w:val="00DB0169"/>
    <w:rsid w:val="00DB02E7"/>
    <w:rsid w:val="00DB0AC3"/>
    <w:rsid w:val="00DB19FF"/>
    <w:rsid w:val="00DB1F3F"/>
    <w:rsid w:val="00DB2168"/>
    <w:rsid w:val="00DB2200"/>
    <w:rsid w:val="00DB31BA"/>
    <w:rsid w:val="00DB41EA"/>
    <w:rsid w:val="00DB456B"/>
    <w:rsid w:val="00DB67FA"/>
    <w:rsid w:val="00DB6D2A"/>
    <w:rsid w:val="00DB6E4E"/>
    <w:rsid w:val="00DB715E"/>
    <w:rsid w:val="00DB71DB"/>
    <w:rsid w:val="00DC2152"/>
    <w:rsid w:val="00DC45FE"/>
    <w:rsid w:val="00DC6060"/>
    <w:rsid w:val="00DC611C"/>
    <w:rsid w:val="00DC663A"/>
    <w:rsid w:val="00DC7E22"/>
    <w:rsid w:val="00DD0632"/>
    <w:rsid w:val="00DD2A09"/>
    <w:rsid w:val="00DD31EE"/>
    <w:rsid w:val="00DD3713"/>
    <w:rsid w:val="00DD3B2B"/>
    <w:rsid w:val="00DD3CB9"/>
    <w:rsid w:val="00DD55D5"/>
    <w:rsid w:val="00DD590B"/>
    <w:rsid w:val="00DD6D36"/>
    <w:rsid w:val="00DE12BA"/>
    <w:rsid w:val="00DE7345"/>
    <w:rsid w:val="00DF043F"/>
    <w:rsid w:val="00DF253B"/>
    <w:rsid w:val="00DF278B"/>
    <w:rsid w:val="00DF3D29"/>
    <w:rsid w:val="00DF6EFD"/>
    <w:rsid w:val="00DF742C"/>
    <w:rsid w:val="00DF7938"/>
    <w:rsid w:val="00E000E2"/>
    <w:rsid w:val="00E004DB"/>
    <w:rsid w:val="00E005C1"/>
    <w:rsid w:val="00E01B3E"/>
    <w:rsid w:val="00E01C97"/>
    <w:rsid w:val="00E020B4"/>
    <w:rsid w:val="00E028C6"/>
    <w:rsid w:val="00E07299"/>
    <w:rsid w:val="00E10987"/>
    <w:rsid w:val="00E10E9F"/>
    <w:rsid w:val="00E12162"/>
    <w:rsid w:val="00E1237D"/>
    <w:rsid w:val="00E1246C"/>
    <w:rsid w:val="00E15335"/>
    <w:rsid w:val="00E15FE2"/>
    <w:rsid w:val="00E17A0A"/>
    <w:rsid w:val="00E20973"/>
    <w:rsid w:val="00E20EAD"/>
    <w:rsid w:val="00E2114F"/>
    <w:rsid w:val="00E231B5"/>
    <w:rsid w:val="00E26138"/>
    <w:rsid w:val="00E27D5F"/>
    <w:rsid w:val="00E32F77"/>
    <w:rsid w:val="00E33F31"/>
    <w:rsid w:val="00E37B03"/>
    <w:rsid w:val="00E41838"/>
    <w:rsid w:val="00E429CC"/>
    <w:rsid w:val="00E44A2E"/>
    <w:rsid w:val="00E456B9"/>
    <w:rsid w:val="00E51892"/>
    <w:rsid w:val="00E51C99"/>
    <w:rsid w:val="00E5267F"/>
    <w:rsid w:val="00E52E82"/>
    <w:rsid w:val="00E541DB"/>
    <w:rsid w:val="00E54F18"/>
    <w:rsid w:val="00E60E89"/>
    <w:rsid w:val="00E61936"/>
    <w:rsid w:val="00E62BA0"/>
    <w:rsid w:val="00E64002"/>
    <w:rsid w:val="00E65069"/>
    <w:rsid w:val="00E6615D"/>
    <w:rsid w:val="00E661DA"/>
    <w:rsid w:val="00E666A2"/>
    <w:rsid w:val="00E676F8"/>
    <w:rsid w:val="00E6795C"/>
    <w:rsid w:val="00E70CBD"/>
    <w:rsid w:val="00E70FF3"/>
    <w:rsid w:val="00E723B5"/>
    <w:rsid w:val="00E72D9D"/>
    <w:rsid w:val="00E73A92"/>
    <w:rsid w:val="00E760AA"/>
    <w:rsid w:val="00E775D3"/>
    <w:rsid w:val="00E806D4"/>
    <w:rsid w:val="00E827E8"/>
    <w:rsid w:val="00E832F5"/>
    <w:rsid w:val="00E85FC6"/>
    <w:rsid w:val="00E86D1B"/>
    <w:rsid w:val="00E87DB5"/>
    <w:rsid w:val="00E963FB"/>
    <w:rsid w:val="00E975A8"/>
    <w:rsid w:val="00EA0275"/>
    <w:rsid w:val="00EA29A3"/>
    <w:rsid w:val="00EA3D1B"/>
    <w:rsid w:val="00EA543D"/>
    <w:rsid w:val="00EA71B1"/>
    <w:rsid w:val="00EB025B"/>
    <w:rsid w:val="00EB198B"/>
    <w:rsid w:val="00EB2240"/>
    <w:rsid w:val="00EB38EF"/>
    <w:rsid w:val="00EB44C1"/>
    <w:rsid w:val="00EC15BB"/>
    <w:rsid w:val="00EC161A"/>
    <w:rsid w:val="00EC4E93"/>
    <w:rsid w:val="00EC6E0D"/>
    <w:rsid w:val="00ED006E"/>
    <w:rsid w:val="00ED0802"/>
    <w:rsid w:val="00ED4506"/>
    <w:rsid w:val="00ED5D29"/>
    <w:rsid w:val="00ED6EE3"/>
    <w:rsid w:val="00ED6F01"/>
    <w:rsid w:val="00EE1F28"/>
    <w:rsid w:val="00EE46DE"/>
    <w:rsid w:val="00EE7541"/>
    <w:rsid w:val="00EE79AE"/>
    <w:rsid w:val="00EF067B"/>
    <w:rsid w:val="00EF0CD0"/>
    <w:rsid w:val="00EF284D"/>
    <w:rsid w:val="00EF2A2C"/>
    <w:rsid w:val="00EF30E5"/>
    <w:rsid w:val="00EF4272"/>
    <w:rsid w:val="00EF5746"/>
    <w:rsid w:val="00EF587D"/>
    <w:rsid w:val="00EF7A51"/>
    <w:rsid w:val="00EF7E66"/>
    <w:rsid w:val="00F0098C"/>
    <w:rsid w:val="00F03628"/>
    <w:rsid w:val="00F06D25"/>
    <w:rsid w:val="00F11E9E"/>
    <w:rsid w:val="00F1504E"/>
    <w:rsid w:val="00F1512E"/>
    <w:rsid w:val="00F206EA"/>
    <w:rsid w:val="00F232DE"/>
    <w:rsid w:val="00F24977"/>
    <w:rsid w:val="00F24B2C"/>
    <w:rsid w:val="00F26279"/>
    <w:rsid w:val="00F2705F"/>
    <w:rsid w:val="00F27C6C"/>
    <w:rsid w:val="00F33BDF"/>
    <w:rsid w:val="00F3755A"/>
    <w:rsid w:val="00F37A62"/>
    <w:rsid w:val="00F4129B"/>
    <w:rsid w:val="00F43AF9"/>
    <w:rsid w:val="00F43F47"/>
    <w:rsid w:val="00F45473"/>
    <w:rsid w:val="00F45A78"/>
    <w:rsid w:val="00F468B8"/>
    <w:rsid w:val="00F470C3"/>
    <w:rsid w:val="00F51A9F"/>
    <w:rsid w:val="00F52D4D"/>
    <w:rsid w:val="00F52E60"/>
    <w:rsid w:val="00F537FA"/>
    <w:rsid w:val="00F618F1"/>
    <w:rsid w:val="00F62A1B"/>
    <w:rsid w:val="00F650D3"/>
    <w:rsid w:val="00F6643C"/>
    <w:rsid w:val="00F7024F"/>
    <w:rsid w:val="00F72189"/>
    <w:rsid w:val="00F73219"/>
    <w:rsid w:val="00F73667"/>
    <w:rsid w:val="00F73D39"/>
    <w:rsid w:val="00F7454F"/>
    <w:rsid w:val="00F7637B"/>
    <w:rsid w:val="00F76BCF"/>
    <w:rsid w:val="00F77CF6"/>
    <w:rsid w:val="00F8335E"/>
    <w:rsid w:val="00F86559"/>
    <w:rsid w:val="00F87C10"/>
    <w:rsid w:val="00F91E8F"/>
    <w:rsid w:val="00F92280"/>
    <w:rsid w:val="00F941F9"/>
    <w:rsid w:val="00F943CE"/>
    <w:rsid w:val="00F9478D"/>
    <w:rsid w:val="00FA062B"/>
    <w:rsid w:val="00FA0D5C"/>
    <w:rsid w:val="00FA1077"/>
    <w:rsid w:val="00FA21AA"/>
    <w:rsid w:val="00FA47DC"/>
    <w:rsid w:val="00FA6179"/>
    <w:rsid w:val="00FA66DE"/>
    <w:rsid w:val="00FA6C94"/>
    <w:rsid w:val="00FA7CB6"/>
    <w:rsid w:val="00FB071A"/>
    <w:rsid w:val="00FB1A16"/>
    <w:rsid w:val="00FB1A1C"/>
    <w:rsid w:val="00FB2692"/>
    <w:rsid w:val="00FB45DC"/>
    <w:rsid w:val="00FB5FAE"/>
    <w:rsid w:val="00FB676B"/>
    <w:rsid w:val="00FB743A"/>
    <w:rsid w:val="00FB75B2"/>
    <w:rsid w:val="00FB7FC4"/>
    <w:rsid w:val="00FC0303"/>
    <w:rsid w:val="00FC1267"/>
    <w:rsid w:val="00FC28C3"/>
    <w:rsid w:val="00FC430A"/>
    <w:rsid w:val="00FC5120"/>
    <w:rsid w:val="00FC5961"/>
    <w:rsid w:val="00FC5F3D"/>
    <w:rsid w:val="00FD0D95"/>
    <w:rsid w:val="00FD3526"/>
    <w:rsid w:val="00FD5713"/>
    <w:rsid w:val="00FD6CF0"/>
    <w:rsid w:val="00FD7CF9"/>
    <w:rsid w:val="00FE0185"/>
    <w:rsid w:val="00FE0DFF"/>
    <w:rsid w:val="00FE39A9"/>
    <w:rsid w:val="00FE4B86"/>
    <w:rsid w:val="00FE6A77"/>
    <w:rsid w:val="00FF1D41"/>
    <w:rsid w:val="00FF2CC0"/>
    <w:rsid w:val="00FF2F4B"/>
    <w:rsid w:val="00FF4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96567"/>
  <w15:docId w15:val="{1DE015DC-AA2F-4BB8-8C5B-D0ED2D4AD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0C79"/>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670C79"/>
    <w:pPr>
      <w:keepNext/>
      <w:spacing w:line="360" w:lineRule="auto"/>
      <w:outlineLvl w:val="0"/>
    </w:pPr>
    <w:rPr>
      <w:sz w:val="28"/>
    </w:rPr>
  </w:style>
  <w:style w:type="paragraph" w:styleId="Heading2">
    <w:name w:val="heading 2"/>
    <w:basedOn w:val="Normal"/>
    <w:next w:val="Normal"/>
    <w:link w:val="Heading2Char"/>
    <w:qFormat/>
    <w:rsid w:val="00670C79"/>
    <w:pPr>
      <w:keepNext/>
      <w:jc w:val="both"/>
      <w:outlineLvl w:val="1"/>
    </w:pPr>
    <w:rPr>
      <w:sz w:val="28"/>
    </w:rPr>
  </w:style>
  <w:style w:type="paragraph" w:styleId="Heading3">
    <w:name w:val="heading 3"/>
    <w:basedOn w:val="Normal"/>
    <w:next w:val="Normal"/>
    <w:link w:val="Heading3Char"/>
    <w:uiPriority w:val="9"/>
    <w:unhideWhenUsed/>
    <w:qFormat/>
    <w:rsid w:val="00C01DF1"/>
    <w:pPr>
      <w:keepNext/>
      <w:keepLines/>
      <w:spacing w:before="200"/>
      <w:outlineLvl w:val="2"/>
    </w:pPr>
    <w:rPr>
      <w:rFonts w:asciiTheme="majorHAnsi" w:eastAsiaTheme="majorEastAsia" w:hAnsiTheme="majorHAnsi" w:cstheme="majorBidi"/>
      <w:b/>
      <w:bCs/>
      <w:color w:val="5B9BD5" w:themeColor="accent1"/>
    </w:rPr>
  </w:style>
  <w:style w:type="paragraph" w:styleId="Heading6">
    <w:name w:val="heading 6"/>
    <w:basedOn w:val="Normal"/>
    <w:next w:val="Normal"/>
    <w:link w:val="Heading6Char"/>
    <w:qFormat/>
    <w:rsid w:val="00670C79"/>
    <w:pPr>
      <w:keepNext/>
      <w:spacing w:before="120" w:after="120" w:line="360" w:lineRule="auto"/>
      <w:outlineLvl w:val="5"/>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0C79"/>
    <w:rPr>
      <w:rFonts w:ascii="Times New Roman" w:eastAsia="Times New Roman" w:hAnsi="Times New Roman" w:cs="Times New Roman"/>
      <w:sz w:val="28"/>
      <w:szCs w:val="24"/>
      <w:lang w:val="ro-RO"/>
    </w:rPr>
  </w:style>
  <w:style w:type="character" w:customStyle="1" w:styleId="Heading2Char">
    <w:name w:val="Heading 2 Char"/>
    <w:basedOn w:val="DefaultParagraphFont"/>
    <w:link w:val="Heading2"/>
    <w:rsid w:val="00670C79"/>
    <w:rPr>
      <w:rFonts w:ascii="Times New Roman" w:eastAsia="Times New Roman" w:hAnsi="Times New Roman" w:cs="Times New Roman"/>
      <w:sz w:val="28"/>
      <w:szCs w:val="24"/>
      <w:lang w:val="ro-RO"/>
    </w:rPr>
  </w:style>
  <w:style w:type="character" w:customStyle="1" w:styleId="Heading6Char">
    <w:name w:val="Heading 6 Char"/>
    <w:basedOn w:val="DefaultParagraphFont"/>
    <w:link w:val="Heading6"/>
    <w:rsid w:val="00670C79"/>
    <w:rPr>
      <w:rFonts w:ascii="Times New Roman" w:eastAsia="Times New Roman" w:hAnsi="Times New Roman" w:cs="Times New Roman"/>
      <w:b/>
      <w:sz w:val="28"/>
      <w:szCs w:val="24"/>
      <w:lang w:val="ro-RO"/>
    </w:rPr>
  </w:style>
  <w:style w:type="paragraph" w:styleId="BodyTextIndent2">
    <w:name w:val="Body Text Indent 2"/>
    <w:basedOn w:val="Normal"/>
    <w:link w:val="BodyTextIndent2Char"/>
    <w:semiHidden/>
    <w:rsid w:val="00670C79"/>
    <w:pPr>
      <w:spacing w:before="120" w:after="120" w:line="360" w:lineRule="auto"/>
      <w:ind w:firstLine="357"/>
    </w:pPr>
    <w:rPr>
      <w:b/>
      <w:bCs/>
      <w:sz w:val="28"/>
    </w:rPr>
  </w:style>
  <w:style w:type="character" w:customStyle="1" w:styleId="BodyTextIndent2Char">
    <w:name w:val="Body Text Indent 2 Char"/>
    <w:basedOn w:val="DefaultParagraphFont"/>
    <w:link w:val="BodyTextIndent2"/>
    <w:semiHidden/>
    <w:rsid w:val="00670C79"/>
    <w:rPr>
      <w:rFonts w:ascii="Times New Roman" w:eastAsia="Times New Roman" w:hAnsi="Times New Roman" w:cs="Times New Roman"/>
      <w:b/>
      <w:bCs/>
      <w:sz w:val="28"/>
      <w:szCs w:val="24"/>
      <w:lang w:val="ro-RO"/>
    </w:rPr>
  </w:style>
  <w:style w:type="paragraph" w:styleId="BodyText2">
    <w:name w:val="Body Text 2"/>
    <w:basedOn w:val="Normal"/>
    <w:link w:val="BodyText2Char"/>
    <w:semiHidden/>
    <w:rsid w:val="00670C79"/>
    <w:pPr>
      <w:jc w:val="both"/>
    </w:pPr>
    <w:rPr>
      <w:sz w:val="28"/>
    </w:rPr>
  </w:style>
  <w:style w:type="character" w:customStyle="1" w:styleId="BodyText2Char">
    <w:name w:val="Body Text 2 Char"/>
    <w:basedOn w:val="DefaultParagraphFont"/>
    <w:link w:val="BodyText2"/>
    <w:semiHidden/>
    <w:rsid w:val="00670C79"/>
    <w:rPr>
      <w:rFonts w:ascii="Times New Roman" w:eastAsia="Times New Roman" w:hAnsi="Times New Roman" w:cs="Times New Roman"/>
      <w:sz w:val="28"/>
      <w:szCs w:val="24"/>
      <w:lang w:val="ro-RO"/>
    </w:rPr>
  </w:style>
  <w:style w:type="paragraph" w:styleId="Title">
    <w:name w:val="Title"/>
    <w:basedOn w:val="Normal"/>
    <w:link w:val="TitleChar"/>
    <w:qFormat/>
    <w:rsid w:val="00670C79"/>
    <w:pPr>
      <w:spacing w:line="360" w:lineRule="auto"/>
      <w:jc w:val="center"/>
    </w:pPr>
    <w:rPr>
      <w:b/>
      <w:sz w:val="32"/>
      <w:szCs w:val="32"/>
    </w:rPr>
  </w:style>
  <w:style w:type="character" w:customStyle="1" w:styleId="TitleChar">
    <w:name w:val="Title Char"/>
    <w:basedOn w:val="DefaultParagraphFont"/>
    <w:link w:val="Title"/>
    <w:rsid w:val="00670C79"/>
    <w:rPr>
      <w:rFonts w:ascii="Times New Roman" w:eastAsia="Times New Roman" w:hAnsi="Times New Roman" w:cs="Times New Roman"/>
      <w:b/>
      <w:sz w:val="32"/>
      <w:szCs w:val="32"/>
      <w:lang w:val="ro-RO"/>
    </w:rPr>
  </w:style>
  <w:style w:type="paragraph" w:styleId="Footer">
    <w:name w:val="footer"/>
    <w:basedOn w:val="Normal"/>
    <w:link w:val="FooterChar"/>
    <w:uiPriority w:val="99"/>
    <w:rsid w:val="00670C79"/>
    <w:pPr>
      <w:tabs>
        <w:tab w:val="center" w:pos="4536"/>
        <w:tab w:val="right" w:pos="9072"/>
      </w:tabs>
    </w:pPr>
  </w:style>
  <w:style w:type="character" w:customStyle="1" w:styleId="FooterChar">
    <w:name w:val="Footer Char"/>
    <w:basedOn w:val="DefaultParagraphFont"/>
    <w:link w:val="Footer"/>
    <w:uiPriority w:val="99"/>
    <w:rsid w:val="00670C79"/>
    <w:rPr>
      <w:rFonts w:ascii="Times New Roman" w:eastAsia="Times New Roman" w:hAnsi="Times New Roman" w:cs="Times New Roman"/>
      <w:sz w:val="24"/>
      <w:szCs w:val="24"/>
      <w:lang w:val="ro-RO"/>
    </w:rPr>
  </w:style>
  <w:style w:type="character" w:styleId="PageNumber">
    <w:name w:val="page number"/>
    <w:basedOn w:val="DefaultParagraphFont"/>
    <w:rsid w:val="00670C79"/>
  </w:style>
  <w:style w:type="table" w:styleId="TableGrid">
    <w:name w:val="Table Grid"/>
    <w:basedOn w:val="TableNormal"/>
    <w:uiPriority w:val="59"/>
    <w:rsid w:val="00670C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67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o-RO"/>
    </w:rPr>
  </w:style>
  <w:style w:type="character" w:customStyle="1" w:styleId="HTMLPreformattedChar">
    <w:name w:val="HTML Preformatted Char"/>
    <w:basedOn w:val="DefaultParagraphFont"/>
    <w:link w:val="HTMLPreformatted"/>
    <w:uiPriority w:val="99"/>
    <w:rsid w:val="00670C79"/>
    <w:rPr>
      <w:rFonts w:ascii="Courier New" w:eastAsia="Times New Roman" w:hAnsi="Courier New" w:cs="Courier New"/>
      <w:sz w:val="20"/>
      <w:szCs w:val="20"/>
      <w:lang w:val="ro-RO" w:eastAsia="ro-RO"/>
    </w:rPr>
  </w:style>
  <w:style w:type="paragraph" w:styleId="NoSpacing">
    <w:name w:val="No Spacing"/>
    <w:link w:val="NoSpacingChar"/>
    <w:qFormat/>
    <w:rsid w:val="00966D02"/>
    <w:pPr>
      <w:spacing w:after="0" w:line="240" w:lineRule="auto"/>
    </w:pPr>
    <w:rPr>
      <w:rFonts w:ascii="Calibri" w:eastAsia="Calibri" w:hAnsi="Calibri" w:cs="Times New Roman"/>
    </w:rPr>
  </w:style>
  <w:style w:type="character" w:customStyle="1" w:styleId="NoSpacingChar">
    <w:name w:val="No Spacing Char"/>
    <w:link w:val="NoSpacing"/>
    <w:locked/>
    <w:rsid w:val="00966D02"/>
    <w:rPr>
      <w:rFonts w:ascii="Calibri" w:eastAsia="Calibri" w:hAnsi="Calibri" w:cs="Times New Roman"/>
    </w:rPr>
  </w:style>
  <w:style w:type="paragraph" w:styleId="BalloonText">
    <w:name w:val="Balloon Text"/>
    <w:basedOn w:val="Normal"/>
    <w:link w:val="BalloonTextChar"/>
    <w:uiPriority w:val="99"/>
    <w:semiHidden/>
    <w:unhideWhenUsed/>
    <w:rsid w:val="00BA4E0F"/>
    <w:rPr>
      <w:rFonts w:ascii="Tahoma" w:hAnsi="Tahoma" w:cs="Tahoma"/>
      <w:sz w:val="16"/>
      <w:szCs w:val="16"/>
    </w:rPr>
  </w:style>
  <w:style w:type="character" w:customStyle="1" w:styleId="BalloonTextChar">
    <w:name w:val="Balloon Text Char"/>
    <w:basedOn w:val="DefaultParagraphFont"/>
    <w:link w:val="BalloonText"/>
    <w:uiPriority w:val="99"/>
    <w:semiHidden/>
    <w:rsid w:val="00BA4E0F"/>
    <w:rPr>
      <w:rFonts w:ascii="Tahoma" w:eastAsia="Times New Roman" w:hAnsi="Tahoma" w:cs="Tahoma"/>
      <w:sz w:val="16"/>
      <w:szCs w:val="16"/>
      <w:lang w:val="ro-RO"/>
    </w:rPr>
  </w:style>
  <w:style w:type="character" w:styleId="CommentReference">
    <w:name w:val="annotation reference"/>
    <w:basedOn w:val="DefaultParagraphFont"/>
    <w:unhideWhenUsed/>
    <w:rsid w:val="00CE7B3A"/>
    <w:rPr>
      <w:sz w:val="16"/>
      <w:szCs w:val="16"/>
    </w:rPr>
  </w:style>
  <w:style w:type="paragraph" w:styleId="CommentText">
    <w:name w:val="annotation text"/>
    <w:basedOn w:val="Normal"/>
    <w:link w:val="CommentTextChar"/>
    <w:uiPriority w:val="99"/>
    <w:unhideWhenUsed/>
    <w:rsid w:val="00CE7B3A"/>
    <w:rPr>
      <w:sz w:val="20"/>
      <w:szCs w:val="20"/>
    </w:rPr>
  </w:style>
  <w:style w:type="character" w:customStyle="1" w:styleId="CommentTextChar">
    <w:name w:val="Comment Text Char"/>
    <w:basedOn w:val="DefaultParagraphFont"/>
    <w:link w:val="CommentText"/>
    <w:uiPriority w:val="99"/>
    <w:rsid w:val="00CE7B3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CE7B3A"/>
    <w:rPr>
      <w:b/>
      <w:bCs/>
    </w:rPr>
  </w:style>
  <w:style w:type="character" w:customStyle="1" w:styleId="CommentSubjectChar">
    <w:name w:val="Comment Subject Char"/>
    <w:basedOn w:val="CommentTextChar"/>
    <w:link w:val="CommentSubject"/>
    <w:uiPriority w:val="99"/>
    <w:semiHidden/>
    <w:rsid w:val="00CE7B3A"/>
    <w:rPr>
      <w:rFonts w:ascii="Times New Roman" w:eastAsia="Times New Roman" w:hAnsi="Times New Roman" w:cs="Times New Roman"/>
      <w:b/>
      <w:bCs/>
      <w:sz w:val="20"/>
      <w:szCs w:val="20"/>
      <w:lang w:val="ro-RO"/>
    </w:rPr>
  </w:style>
  <w:style w:type="character" w:customStyle="1" w:styleId="Heading3Char">
    <w:name w:val="Heading 3 Char"/>
    <w:basedOn w:val="DefaultParagraphFont"/>
    <w:link w:val="Heading3"/>
    <w:uiPriority w:val="9"/>
    <w:rsid w:val="00C01DF1"/>
    <w:rPr>
      <w:rFonts w:asciiTheme="majorHAnsi" w:eastAsiaTheme="majorEastAsia" w:hAnsiTheme="majorHAnsi" w:cstheme="majorBidi"/>
      <w:b/>
      <w:bCs/>
      <w:color w:val="5B9BD5" w:themeColor="accent1"/>
      <w:sz w:val="24"/>
      <w:szCs w:val="24"/>
      <w:lang w:val="ro-RO"/>
    </w:rPr>
  </w:style>
  <w:style w:type="paragraph" w:styleId="ListParagraph">
    <w:name w:val="List Paragraph"/>
    <w:aliases w:val="Normal bullet 2,List Paragraph1,List1,body 2,List Paragraph11,Listă colorată - Accentuare 11,Bullet,Citation List,Forth level"/>
    <w:basedOn w:val="Normal"/>
    <w:link w:val="ListParagraphChar"/>
    <w:uiPriority w:val="34"/>
    <w:qFormat/>
    <w:rsid w:val="00CD681E"/>
    <w:pPr>
      <w:ind w:left="720"/>
      <w:contextualSpacing/>
    </w:pPr>
    <w:rPr>
      <w:rFonts w:asciiTheme="minorHAnsi" w:eastAsiaTheme="minorHAnsi" w:hAnsiTheme="minorHAnsi" w:cstheme="minorBidi"/>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
    <w:link w:val="ListParagraph"/>
    <w:uiPriority w:val="99"/>
    <w:locked/>
    <w:rsid w:val="009B71DC"/>
    <w:rPr>
      <w:sz w:val="24"/>
      <w:szCs w:val="24"/>
      <w:lang w:val="ro-RO"/>
    </w:rPr>
  </w:style>
  <w:style w:type="character" w:customStyle="1" w:styleId="ColorfulList-Accent1Char">
    <w:name w:val="Colorful List - Accent 1 Char"/>
    <w:link w:val="ColorfulList-Accent1"/>
    <w:uiPriority w:val="34"/>
    <w:locked/>
    <w:rsid w:val="009B71DC"/>
    <w:rPr>
      <w:noProof/>
      <w:sz w:val="24"/>
      <w:szCs w:val="24"/>
      <w:lang w:val="ro-RO"/>
    </w:rPr>
  </w:style>
  <w:style w:type="table" w:styleId="ColorfulList-Accent1">
    <w:name w:val="Colorful List Accent 1"/>
    <w:basedOn w:val="TableNormal"/>
    <w:link w:val="ColorfulList-Accent1Char"/>
    <w:uiPriority w:val="34"/>
    <w:rsid w:val="009B71DC"/>
    <w:pPr>
      <w:spacing w:after="0" w:line="240" w:lineRule="auto"/>
    </w:pPr>
    <w:rPr>
      <w:noProof/>
      <w:sz w:val="24"/>
      <w:szCs w:val="24"/>
      <w:lang w:val="ro-RO"/>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BA47F0"/>
    <w:pPr>
      <w:tabs>
        <w:tab w:val="center" w:pos="4536"/>
        <w:tab w:val="right" w:pos="9072"/>
      </w:tabs>
    </w:pPr>
  </w:style>
  <w:style w:type="character" w:customStyle="1" w:styleId="HeaderChar">
    <w:name w:val="Header Char"/>
    <w:basedOn w:val="DefaultParagraphFont"/>
    <w:link w:val="Header"/>
    <w:uiPriority w:val="99"/>
    <w:rsid w:val="00BA47F0"/>
    <w:rPr>
      <w:rFonts w:ascii="Times New Roman" w:eastAsia="Times New Roman" w:hAnsi="Times New Roman" w:cs="Times New Roman"/>
      <w:sz w:val="24"/>
      <w:szCs w:val="24"/>
      <w:lang w:val="ro-RO"/>
    </w:rPr>
  </w:style>
  <w:style w:type="character" w:customStyle="1" w:styleId="panchor">
    <w:name w:val="panchor"/>
    <w:basedOn w:val="DefaultParagraphFont"/>
    <w:rsid w:val="00161A61"/>
  </w:style>
  <w:style w:type="character" w:styleId="Hyperlink">
    <w:name w:val="Hyperlink"/>
    <w:basedOn w:val="DefaultParagraphFont"/>
    <w:uiPriority w:val="99"/>
    <w:unhideWhenUsed/>
    <w:rsid w:val="001B7961"/>
    <w:rPr>
      <w:color w:val="0000FF"/>
      <w:u w:val="single"/>
    </w:rPr>
  </w:style>
  <w:style w:type="character" w:customStyle="1" w:styleId="slgi">
    <w:name w:val="s_lgi"/>
    <w:basedOn w:val="DefaultParagraphFont"/>
    <w:rsid w:val="00EF067B"/>
  </w:style>
  <w:style w:type="paragraph" w:styleId="Revision">
    <w:name w:val="Revision"/>
    <w:hidden/>
    <w:uiPriority w:val="99"/>
    <w:semiHidden/>
    <w:rsid w:val="00E51892"/>
    <w:pPr>
      <w:spacing w:after="0" w:line="240" w:lineRule="auto"/>
    </w:pPr>
    <w:rPr>
      <w:rFonts w:ascii="Times New Roman" w:eastAsia="Times New Roman" w:hAnsi="Times New Roman" w:cs="Times New Roman"/>
      <w:sz w:val="24"/>
      <w:szCs w:val="24"/>
      <w:lang w:val="ro-RO"/>
    </w:rPr>
  </w:style>
  <w:style w:type="table" w:customStyle="1" w:styleId="TableGrid1">
    <w:name w:val="Table Grid1"/>
    <w:basedOn w:val="TableNormal"/>
    <w:next w:val="TableGrid"/>
    <w:uiPriority w:val="59"/>
    <w:rsid w:val="00357FC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9561EC"/>
    <w:rPr>
      <w:color w:val="605E5C"/>
      <w:shd w:val="clear" w:color="auto" w:fill="E1DFDD"/>
    </w:rPr>
  </w:style>
  <w:style w:type="paragraph" w:customStyle="1" w:styleId="Default">
    <w:name w:val="Default"/>
    <w:rsid w:val="00406B07"/>
    <w:pPr>
      <w:autoSpaceDE w:val="0"/>
      <w:autoSpaceDN w:val="0"/>
      <w:adjustRightInd w:val="0"/>
      <w:spacing w:after="0" w:line="240" w:lineRule="auto"/>
    </w:pPr>
    <w:rPr>
      <w:rFonts w:ascii="EUAlbertina" w:hAnsi="EUAlbertina" w:cs="EUAlbertina"/>
      <w:color w:val="000000"/>
      <w:sz w:val="24"/>
      <w:szCs w:val="24"/>
    </w:rPr>
  </w:style>
  <w:style w:type="paragraph" w:styleId="BodyText">
    <w:name w:val="Body Text"/>
    <w:basedOn w:val="Normal"/>
    <w:link w:val="BodyTextChar"/>
    <w:uiPriority w:val="99"/>
    <w:semiHidden/>
    <w:unhideWhenUsed/>
    <w:rsid w:val="00374A8F"/>
    <w:pPr>
      <w:spacing w:after="120"/>
    </w:pPr>
  </w:style>
  <w:style w:type="character" w:customStyle="1" w:styleId="BodyTextChar">
    <w:name w:val="Body Text Char"/>
    <w:basedOn w:val="DefaultParagraphFont"/>
    <w:link w:val="BodyText"/>
    <w:uiPriority w:val="99"/>
    <w:semiHidden/>
    <w:rsid w:val="00374A8F"/>
    <w:rPr>
      <w:rFonts w:ascii="Times New Roman" w:eastAsia="Times New Roman" w:hAnsi="Times New Roman" w:cs="Times New Roman"/>
      <w:sz w:val="24"/>
      <w:szCs w:val="24"/>
      <w:lang w:val="ro-RO"/>
    </w:rPr>
  </w:style>
  <w:style w:type="table" w:customStyle="1" w:styleId="TableNormal1">
    <w:name w:val="Table Normal1"/>
    <w:rsid w:val="00924EC8"/>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it-IT" w:eastAsia="it-IT"/>
    </w:rPr>
    <w:tblPr>
      <w:tblInd w:w="0" w:type="dxa"/>
      <w:tblCellMar>
        <w:top w:w="0" w:type="dxa"/>
        <w:left w:w="0" w:type="dxa"/>
        <w:bottom w:w="0" w:type="dxa"/>
        <w:right w:w="0" w:type="dxa"/>
      </w:tblCellMar>
    </w:tblPr>
  </w:style>
  <w:style w:type="paragraph" w:styleId="FootnoteText">
    <w:name w:val="footnote text"/>
    <w:aliases w:val="Car"/>
    <w:basedOn w:val="Normal"/>
    <w:next w:val="Normal"/>
    <w:link w:val="FootnoteTextChar"/>
    <w:uiPriority w:val="99"/>
    <w:qFormat/>
    <w:rsid w:val="00576CE9"/>
    <w:pPr>
      <w:spacing w:after="120"/>
      <w:ind w:left="340" w:hanging="340"/>
      <w:jc w:val="both"/>
    </w:pPr>
    <w:rPr>
      <w:rFonts w:eastAsia="SimSun"/>
      <w:sz w:val="20"/>
      <w:szCs w:val="20"/>
      <w:lang w:val="en-GB" w:eastAsia="zh-CN" w:bidi="ar-AE"/>
    </w:rPr>
  </w:style>
  <w:style w:type="character" w:customStyle="1" w:styleId="FootnoteTextChar">
    <w:name w:val="Footnote Text Char"/>
    <w:aliases w:val="Car Char"/>
    <w:basedOn w:val="DefaultParagraphFont"/>
    <w:link w:val="FootnoteText"/>
    <w:uiPriority w:val="99"/>
    <w:rsid w:val="00576CE9"/>
    <w:rPr>
      <w:rFonts w:ascii="Times New Roman" w:eastAsia="SimSun" w:hAnsi="Times New Roman" w:cs="Times New Roman"/>
      <w:sz w:val="20"/>
      <w:szCs w:val="20"/>
      <w:lang w:val="en-GB" w:eastAsia="zh-CN" w:bidi="ar-AE"/>
    </w:rPr>
  </w:style>
  <w:style w:type="character" w:styleId="FootnoteReference">
    <w:name w:val="footnote reference"/>
    <w:basedOn w:val="DefaultParagraphFont"/>
    <w:uiPriority w:val="99"/>
    <w:rsid w:val="00576CE9"/>
    <w:rPr>
      <w:rFonts w:ascii="Times New Roman" w:eastAsia="SimSun" w:hAnsi="Times New Roman" w:cs="Simplified Arabic"/>
      <w:sz w:val="18"/>
      <w:szCs w:val="18"/>
      <w:vertAlign w:val="superscript"/>
      <w:lang w:bidi="ar-A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595865">
      <w:bodyDiv w:val="1"/>
      <w:marLeft w:val="0"/>
      <w:marRight w:val="0"/>
      <w:marTop w:val="0"/>
      <w:marBottom w:val="0"/>
      <w:divBdr>
        <w:top w:val="none" w:sz="0" w:space="0" w:color="auto"/>
        <w:left w:val="none" w:sz="0" w:space="0" w:color="auto"/>
        <w:bottom w:val="none" w:sz="0" w:space="0" w:color="auto"/>
        <w:right w:val="none" w:sz="0" w:space="0" w:color="auto"/>
      </w:divBdr>
    </w:div>
    <w:div w:id="168638186">
      <w:bodyDiv w:val="1"/>
      <w:marLeft w:val="0"/>
      <w:marRight w:val="0"/>
      <w:marTop w:val="0"/>
      <w:marBottom w:val="0"/>
      <w:divBdr>
        <w:top w:val="none" w:sz="0" w:space="0" w:color="auto"/>
        <w:left w:val="none" w:sz="0" w:space="0" w:color="auto"/>
        <w:bottom w:val="none" w:sz="0" w:space="0" w:color="auto"/>
        <w:right w:val="none" w:sz="0" w:space="0" w:color="auto"/>
      </w:divBdr>
    </w:div>
    <w:div w:id="186409884">
      <w:bodyDiv w:val="1"/>
      <w:marLeft w:val="0"/>
      <w:marRight w:val="0"/>
      <w:marTop w:val="0"/>
      <w:marBottom w:val="0"/>
      <w:divBdr>
        <w:top w:val="none" w:sz="0" w:space="0" w:color="auto"/>
        <w:left w:val="none" w:sz="0" w:space="0" w:color="auto"/>
        <w:bottom w:val="none" w:sz="0" w:space="0" w:color="auto"/>
        <w:right w:val="none" w:sz="0" w:space="0" w:color="auto"/>
      </w:divBdr>
    </w:div>
    <w:div w:id="196622305">
      <w:bodyDiv w:val="1"/>
      <w:marLeft w:val="0"/>
      <w:marRight w:val="0"/>
      <w:marTop w:val="0"/>
      <w:marBottom w:val="0"/>
      <w:divBdr>
        <w:top w:val="none" w:sz="0" w:space="0" w:color="auto"/>
        <w:left w:val="none" w:sz="0" w:space="0" w:color="auto"/>
        <w:bottom w:val="none" w:sz="0" w:space="0" w:color="auto"/>
        <w:right w:val="none" w:sz="0" w:space="0" w:color="auto"/>
      </w:divBdr>
    </w:div>
    <w:div w:id="264387125">
      <w:bodyDiv w:val="1"/>
      <w:marLeft w:val="0"/>
      <w:marRight w:val="0"/>
      <w:marTop w:val="0"/>
      <w:marBottom w:val="0"/>
      <w:divBdr>
        <w:top w:val="none" w:sz="0" w:space="0" w:color="auto"/>
        <w:left w:val="none" w:sz="0" w:space="0" w:color="auto"/>
        <w:bottom w:val="none" w:sz="0" w:space="0" w:color="auto"/>
        <w:right w:val="none" w:sz="0" w:space="0" w:color="auto"/>
      </w:divBdr>
    </w:div>
    <w:div w:id="274027299">
      <w:bodyDiv w:val="1"/>
      <w:marLeft w:val="0"/>
      <w:marRight w:val="0"/>
      <w:marTop w:val="0"/>
      <w:marBottom w:val="0"/>
      <w:divBdr>
        <w:top w:val="none" w:sz="0" w:space="0" w:color="auto"/>
        <w:left w:val="none" w:sz="0" w:space="0" w:color="auto"/>
        <w:bottom w:val="none" w:sz="0" w:space="0" w:color="auto"/>
        <w:right w:val="none" w:sz="0" w:space="0" w:color="auto"/>
      </w:divBdr>
    </w:div>
    <w:div w:id="341670646">
      <w:bodyDiv w:val="1"/>
      <w:marLeft w:val="0"/>
      <w:marRight w:val="0"/>
      <w:marTop w:val="0"/>
      <w:marBottom w:val="0"/>
      <w:divBdr>
        <w:top w:val="none" w:sz="0" w:space="0" w:color="auto"/>
        <w:left w:val="none" w:sz="0" w:space="0" w:color="auto"/>
        <w:bottom w:val="none" w:sz="0" w:space="0" w:color="auto"/>
        <w:right w:val="none" w:sz="0" w:space="0" w:color="auto"/>
      </w:divBdr>
    </w:div>
    <w:div w:id="373122914">
      <w:bodyDiv w:val="1"/>
      <w:marLeft w:val="0"/>
      <w:marRight w:val="0"/>
      <w:marTop w:val="0"/>
      <w:marBottom w:val="0"/>
      <w:divBdr>
        <w:top w:val="none" w:sz="0" w:space="0" w:color="auto"/>
        <w:left w:val="none" w:sz="0" w:space="0" w:color="auto"/>
        <w:bottom w:val="none" w:sz="0" w:space="0" w:color="auto"/>
        <w:right w:val="none" w:sz="0" w:space="0" w:color="auto"/>
      </w:divBdr>
    </w:div>
    <w:div w:id="398329692">
      <w:bodyDiv w:val="1"/>
      <w:marLeft w:val="0"/>
      <w:marRight w:val="0"/>
      <w:marTop w:val="0"/>
      <w:marBottom w:val="0"/>
      <w:divBdr>
        <w:top w:val="none" w:sz="0" w:space="0" w:color="auto"/>
        <w:left w:val="none" w:sz="0" w:space="0" w:color="auto"/>
        <w:bottom w:val="none" w:sz="0" w:space="0" w:color="auto"/>
        <w:right w:val="none" w:sz="0" w:space="0" w:color="auto"/>
      </w:divBdr>
    </w:div>
    <w:div w:id="435490971">
      <w:bodyDiv w:val="1"/>
      <w:marLeft w:val="0"/>
      <w:marRight w:val="0"/>
      <w:marTop w:val="0"/>
      <w:marBottom w:val="0"/>
      <w:divBdr>
        <w:top w:val="none" w:sz="0" w:space="0" w:color="auto"/>
        <w:left w:val="none" w:sz="0" w:space="0" w:color="auto"/>
        <w:bottom w:val="none" w:sz="0" w:space="0" w:color="auto"/>
        <w:right w:val="none" w:sz="0" w:space="0" w:color="auto"/>
      </w:divBdr>
    </w:div>
    <w:div w:id="472066420">
      <w:bodyDiv w:val="1"/>
      <w:marLeft w:val="0"/>
      <w:marRight w:val="0"/>
      <w:marTop w:val="0"/>
      <w:marBottom w:val="0"/>
      <w:divBdr>
        <w:top w:val="none" w:sz="0" w:space="0" w:color="auto"/>
        <w:left w:val="none" w:sz="0" w:space="0" w:color="auto"/>
        <w:bottom w:val="none" w:sz="0" w:space="0" w:color="auto"/>
        <w:right w:val="none" w:sz="0" w:space="0" w:color="auto"/>
      </w:divBdr>
    </w:div>
    <w:div w:id="648753987">
      <w:bodyDiv w:val="1"/>
      <w:marLeft w:val="0"/>
      <w:marRight w:val="0"/>
      <w:marTop w:val="0"/>
      <w:marBottom w:val="0"/>
      <w:divBdr>
        <w:top w:val="none" w:sz="0" w:space="0" w:color="auto"/>
        <w:left w:val="none" w:sz="0" w:space="0" w:color="auto"/>
        <w:bottom w:val="none" w:sz="0" w:space="0" w:color="auto"/>
        <w:right w:val="none" w:sz="0" w:space="0" w:color="auto"/>
      </w:divBdr>
    </w:div>
    <w:div w:id="655841619">
      <w:bodyDiv w:val="1"/>
      <w:marLeft w:val="0"/>
      <w:marRight w:val="0"/>
      <w:marTop w:val="0"/>
      <w:marBottom w:val="0"/>
      <w:divBdr>
        <w:top w:val="none" w:sz="0" w:space="0" w:color="auto"/>
        <w:left w:val="none" w:sz="0" w:space="0" w:color="auto"/>
        <w:bottom w:val="none" w:sz="0" w:space="0" w:color="auto"/>
        <w:right w:val="none" w:sz="0" w:space="0" w:color="auto"/>
      </w:divBdr>
    </w:div>
    <w:div w:id="724794826">
      <w:bodyDiv w:val="1"/>
      <w:marLeft w:val="0"/>
      <w:marRight w:val="0"/>
      <w:marTop w:val="0"/>
      <w:marBottom w:val="0"/>
      <w:divBdr>
        <w:top w:val="none" w:sz="0" w:space="0" w:color="auto"/>
        <w:left w:val="none" w:sz="0" w:space="0" w:color="auto"/>
        <w:bottom w:val="none" w:sz="0" w:space="0" w:color="auto"/>
        <w:right w:val="none" w:sz="0" w:space="0" w:color="auto"/>
      </w:divBdr>
    </w:div>
    <w:div w:id="821700759">
      <w:bodyDiv w:val="1"/>
      <w:marLeft w:val="0"/>
      <w:marRight w:val="0"/>
      <w:marTop w:val="0"/>
      <w:marBottom w:val="0"/>
      <w:divBdr>
        <w:top w:val="none" w:sz="0" w:space="0" w:color="auto"/>
        <w:left w:val="none" w:sz="0" w:space="0" w:color="auto"/>
        <w:bottom w:val="none" w:sz="0" w:space="0" w:color="auto"/>
        <w:right w:val="none" w:sz="0" w:space="0" w:color="auto"/>
      </w:divBdr>
    </w:div>
    <w:div w:id="1022050013">
      <w:bodyDiv w:val="1"/>
      <w:marLeft w:val="0"/>
      <w:marRight w:val="0"/>
      <w:marTop w:val="0"/>
      <w:marBottom w:val="0"/>
      <w:divBdr>
        <w:top w:val="none" w:sz="0" w:space="0" w:color="auto"/>
        <w:left w:val="none" w:sz="0" w:space="0" w:color="auto"/>
        <w:bottom w:val="none" w:sz="0" w:space="0" w:color="auto"/>
        <w:right w:val="none" w:sz="0" w:space="0" w:color="auto"/>
      </w:divBdr>
    </w:div>
    <w:div w:id="1069763157">
      <w:bodyDiv w:val="1"/>
      <w:marLeft w:val="0"/>
      <w:marRight w:val="0"/>
      <w:marTop w:val="0"/>
      <w:marBottom w:val="0"/>
      <w:divBdr>
        <w:top w:val="none" w:sz="0" w:space="0" w:color="auto"/>
        <w:left w:val="none" w:sz="0" w:space="0" w:color="auto"/>
        <w:bottom w:val="none" w:sz="0" w:space="0" w:color="auto"/>
        <w:right w:val="none" w:sz="0" w:space="0" w:color="auto"/>
      </w:divBdr>
    </w:div>
    <w:div w:id="1114708165">
      <w:bodyDiv w:val="1"/>
      <w:marLeft w:val="0"/>
      <w:marRight w:val="0"/>
      <w:marTop w:val="0"/>
      <w:marBottom w:val="0"/>
      <w:divBdr>
        <w:top w:val="none" w:sz="0" w:space="0" w:color="auto"/>
        <w:left w:val="none" w:sz="0" w:space="0" w:color="auto"/>
        <w:bottom w:val="none" w:sz="0" w:space="0" w:color="auto"/>
        <w:right w:val="none" w:sz="0" w:space="0" w:color="auto"/>
      </w:divBdr>
    </w:div>
    <w:div w:id="1135099875">
      <w:bodyDiv w:val="1"/>
      <w:marLeft w:val="0"/>
      <w:marRight w:val="0"/>
      <w:marTop w:val="0"/>
      <w:marBottom w:val="0"/>
      <w:divBdr>
        <w:top w:val="none" w:sz="0" w:space="0" w:color="auto"/>
        <w:left w:val="none" w:sz="0" w:space="0" w:color="auto"/>
        <w:bottom w:val="none" w:sz="0" w:space="0" w:color="auto"/>
        <w:right w:val="none" w:sz="0" w:space="0" w:color="auto"/>
      </w:divBdr>
    </w:div>
    <w:div w:id="1137842082">
      <w:bodyDiv w:val="1"/>
      <w:marLeft w:val="0"/>
      <w:marRight w:val="0"/>
      <w:marTop w:val="0"/>
      <w:marBottom w:val="0"/>
      <w:divBdr>
        <w:top w:val="none" w:sz="0" w:space="0" w:color="auto"/>
        <w:left w:val="none" w:sz="0" w:space="0" w:color="auto"/>
        <w:bottom w:val="none" w:sz="0" w:space="0" w:color="auto"/>
        <w:right w:val="none" w:sz="0" w:space="0" w:color="auto"/>
      </w:divBdr>
    </w:div>
    <w:div w:id="1302812629">
      <w:bodyDiv w:val="1"/>
      <w:marLeft w:val="0"/>
      <w:marRight w:val="0"/>
      <w:marTop w:val="0"/>
      <w:marBottom w:val="0"/>
      <w:divBdr>
        <w:top w:val="none" w:sz="0" w:space="0" w:color="auto"/>
        <w:left w:val="none" w:sz="0" w:space="0" w:color="auto"/>
        <w:bottom w:val="none" w:sz="0" w:space="0" w:color="auto"/>
        <w:right w:val="none" w:sz="0" w:space="0" w:color="auto"/>
      </w:divBdr>
    </w:div>
    <w:div w:id="1327518847">
      <w:bodyDiv w:val="1"/>
      <w:marLeft w:val="0"/>
      <w:marRight w:val="0"/>
      <w:marTop w:val="0"/>
      <w:marBottom w:val="0"/>
      <w:divBdr>
        <w:top w:val="none" w:sz="0" w:space="0" w:color="auto"/>
        <w:left w:val="none" w:sz="0" w:space="0" w:color="auto"/>
        <w:bottom w:val="none" w:sz="0" w:space="0" w:color="auto"/>
        <w:right w:val="none" w:sz="0" w:space="0" w:color="auto"/>
      </w:divBdr>
    </w:div>
    <w:div w:id="1413354410">
      <w:bodyDiv w:val="1"/>
      <w:marLeft w:val="0"/>
      <w:marRight w:val="0"/>
      <w:marTop w:val="0"/>
      <w:marBottom w:val="0"/>
      <w:divBdr>
        <w:top w:val="none" w:sz="0" w:space="0" w:color="auto"/>
        <w:left w:val="none" w:sz="0" w:space="0" w:color="auto"/>
        <w:bottom w:val="none" w:sz="0" w:space="0" w:color="auto"/>
        <w:right w:val="none" w:sz="0" w:space="0" w:color="auto"/>
      </w:divBdr>
    </w:div>
    <w:div w:id="1470589820">
      <w:bodyDiv w:val="1"/>
      <w:marLeft w:val="0"/>
      <w:marRight w:val="0"/>
      <w:marTop w:val="0"/>
      <w:marBottom w:val="0"/>
      <w:divBdr>
        <w:top w:val="none" w:sz="0" w:space="0" w:color="auto"/>
        <w:left w:val="none" w:sz="0" w:space="0" w:color="auto"/>
        <w:bottom w:val="none" w:sz="0" w:space="0" w:color="auto"/>
        <w:right w:val="none" w:sz="0" w:space="0" w:color="auto"/>
      </w:divBdr>
    </w:div>
    <w:div w:id="1484353612">
      <w:bodyDiv w:val="1"/>
      <w:marLeft w:val="0"/>
      <w:marRight w:val="0"/>
      <w:marTop w:val="0"/>
      <w:marBottom w:val="0"/>
      <w:divBdr>
        <w:top w:val="none" w:sz="0" w:space="0" w:color="auto"/>
        <w:left w:val="none" w:sz="0" w:space="0" w:color="auto"/>
        <w:bottom w:val="none" w:sz="0" w:space="0" w:color="auto"/>
        <w:right w:val="none" w:sz="0" w:space="0" w:color="auto"/>
      </w:divBdr>
    </w:div>
    <w:div w:id="1487282297">
      <w:bodyDiv w:val="1"/>
      <w:marLeft w:val="0"/>
      <w:marRight w:val="0"/>
      <w:marTop w:val="0"/>
      <w:marBottom w:val="0"/>
      <w:divBdr>
        <w:top w:val="none" w:sz="0" w:space="0" w:color="auto"/>
        <w:left w:val="none" w:sz="0" w:space="0" w:color="auto"/>
        <w:bottom w:val="none" w:sz="0" w:space="0" w:color="auto"/>
        <w:right w:val="none" w:sz="0" w:space="0" w:color="auto"/>
      </w:divBdr>
    </w:div>
    <w:div w:id="1576210594">
      <w:bodyDiv w:val="1"/>
      <w:marLeft w:val="0"/>
      <w:marRight w:val="0"/>
      <w:marTop w:val="0"/>
      <w:marBottom w:val="0"/>
      <w:divBdr>
        <w:top w:val="none" w:sz="0" w:space="0" w:color="auto"/>
        <w:left w:val="none" w:sz="0" w:space="0" w:color="auto"/>
        <w:bottom w:val="none" w:sz="0" w:space="0" w:color="auto"/>
        <w:right w:val="none" w:sz="0" w:space="0" w:color="auto"/>
      </w:divBdr>
    </w:div>
    <w:div w:id="1603996462">
      <w:bodyDiv w:val="1"/>
      <w:marLeft w:val="0"/>
      <w:marRight w:val="0"/>
      <w:marTop w:val="0"/>
      <w:marBottom w:val="0"/>
      <w:divBdr>
        <w:top w:val="none" w:sz="0" w:space="0" w:color="auto"/>
        <w:left w:val="none" w:sz="0" w:space="0" w:color="auto"/>
        <w:bottom w:val="none" w:sz="0" w:space="0" w:color="auto"/>
        <w:right w:val="none" w:sz="0" w:space="0" w:color="auto"/>
      </w:divBdr>
    </w:div>
    <w:div w:id="1623031635">
      <w:bodyDiv w:val="1"/>
      <w:marLeft w:val="0"/>
      <w:marRight w:val="0"/>
      <w:marTop w:val="0"/>
      <w:marBottom w:val="0"/>
      <w:divBdr>
        <w:top w:val="none" w:sz="0" w:space="0" w:color="auto"/>
        <w:left w:val="none" w:sz="0" w:space="0" w:color="auto"/>
        <w:bottom w:val="none" w:sz="0" w:space="0" w:color="auto"/>
        <w:right w:val="none" w:sz="0" w:space="0" w:color="auto"/>
      </w:divBdr>
    </w:div>
    <w:div w:id="1659847536">
      <w:bodyDiv w:val="1"/>
      <w:marLeft w:val="0"/>
      <w:marRight w:val="0"/>
      <w:marTop w:val="0"/>
      <w:marBottom w:val="0"/>
      <w:divBdr>
        <w:top w:val="none" w:sz="0" w:space="0" w:color="auto"/>
        <w:left w:val="none" w:sz="0" w:space="0" w:color="auto"/>
        <w:bottom w:val="none" w:sz="0" w:space="0" w:color="auto"/>
        <w:right w:val="none" w:sz="0" w:space="0" w:color="auto"/>
      </w:divBdr>
    </w:div>
    <w:div w:id="1678727019">
      <w:bodyDiv w:val="1"/>
      <w:marLeft w:val="0"/>
      <w:marRight w:val="0"/>
      <w:marTop w:val="0"/>
      <w:marBottom w:val="0"/>
      <w:divBdr>
        <w:top w:val="none" w:sz="0" w:space="0" w:color="auto"/>
        <w:left w:val="none" w:sz="0" w:space="0" w:color="auto"/>
        <w:bottom w:val="none" w:sz="0" w:space="0" w:color="auto"/>
        <w:right w:val="none" w:sz="0" w:space="0" w:color="auto"/>
      </w:divBdr>
    </w:div>
    <w:div w:id="1678927333">
      <w:bodyDiv w:val="1"/>
      <w:marLeft w:val="0"/>
      <w:marRight w:val="0"/>
      <w:marTop w:val="0"/>
      <w:marBottom w:val="0"/>
      <w:divBdr>
        <w:top w:val="none" w:sz="0" w:space="0" w:color="auto"/>
        <w:left w:val="none" w:sz="0" w:space="0" w:color="auto"/>
        <w:bottom w:val="none" w:sz="0" w:space="0" w:color="auto"/>
        <w:right w:val="none" w:sz="0" w:space="0" w:color="auto"/>
      </w:divBdr>
    </w:div>
    <w:div w:id="1700545194">
      <w:bodyDiv w:val="1"/>
      <w:marLeft w:val="0"/>
      <w:marRight w:val="0"/>
      <w:marTop w:val="0"/>
      <w:marBottom w:val="0"/>
      <w:divBdr>
        <w:top w:val="none" w:sz="0" w:space="0" w:color="auto"/>
        <w:left w:val="none" w:sz="0" w:space="0" w:color="auto"/>
        <w:bottom w:val="none" w:sz="0" w:space="0" w:color="auto"/>
        <w:right w:val="none" w:sz="0" w:space="0" w:color="auto"/>
      </w:divBdr>
    </w:div>
    <w:div w:id="1772241865">
      <w:bodyDiv w:val="1"/>
      <w:marLeft w:val="0"/>
      <w:marRight w:val="0"/>
      <w:marTop w:val="0"/>
      <w:marBottom w:val="0"/>
      <w:divBdr>
        <w:top w:val="none" w:sz="0" w:space="0" w:color="auto"/>
        <w:left w:val="none" w:sz="0" w:space="0" w:color="auto"/>
        <w:bottom w:val="none" w:sz="0" w:space="0" w:color="auto"/>
        <w:right w:val="none" w:sz="0" w:space="0" w:color="auto"/>
      </w:divBdr>
    </w:div>
    <w:div w:id="1821916945">
      <w:bodyDiv w:val="1"/>
      <w:marLeft w:val="0"/>
      <w:marRight w:val="0"/>
      <w:marTop w:val="0"/>
      <w:marBottom w:val="0"/>
      <w:divBdr>
        <w:top w:val="none" w:sz="0" w:space="0" w:color="auto"/>
        <w:left w:val="none" w:sz="0" w:space="0" w:color="auto"/>
        <w:bottom w:val="none" w:sz="0" w:space="0" w:color="auto"/>
        <w:right w:val="none" w:sz="0" w:space="0" w:color="auto"/>
      </w:divBdr>
    </w:div>
    <w:div w:id="1845515503">
      <w:bodyDiv w:val="1"/>
      <w:marLeft w:val="0"/>
      <w:marRight w:val="0"/>
      <w:marTop w:val="0"/>
      <w:marBottom w:val="0"/>
      <w:divBdr>
        <w:top w:val="none" w:sz="0" w:space="0" w:color="auto"/>
        <w:left w:val="none" w:sz="0" w:space="0" w:color="auto"/>
        <w:bottom w:val="none" w:sz="0" w:space="0" w:color="auto"/>
        <w:right w:val="none" w:sz="0" w:space="0" w:color="auto"/>
      </w:divBdr>
    </w:div>
    <w:div w:id="1915048623">
      <w:bodyDiv w:val="1"/>
      <w:marLeft w:val="0"/>
      <w:marRight w:val="0"/>
      <w:marTop w:val="0"/>
      <w:marBottom w:val="0"/>
      <w:divBdr>
        <w:top w:val="none" w:sz="0" w:space="0" w:color="auto"/>
        <w:left w:val="none" w:sz="0" w:space="0" w:color="auto"/>
        <w:bottom w:val="none" w:sz="0" w:space="0" w:color="auto"/>
        <w:right w:val="none" w:sz="0" w:space="0" w:color="auto"/>
      </w:divBdr>
    </w:div>
    <w:div w:id="207343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41D93-D3A7-4E77-92BA-86F254C92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4571</Words>
  <Characters>26515</Characters>
  <Application>Microsoft Office Word</Application>
  <DocSecurity>0</DocSecurity>
  <Lines>220</Lines>
  <Paragraphs>62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IULIANA-MIHAELA CERNAZEANU</dc:creator>
  <cp:lastModifiedBy>George Carpusor</cp:lastModifiedBy>
  <cp:revision>2</cp:revision>
  <cp:lastPrinted>2021-11-25T10:35:00Z</cp:lastPrinted>
  <dcterms:created xsi:type="dcterms:W3CDTF">2022-05-17T16:09:00Z</dcterms:created>
  <dcterms:modified xsi:type="dcterms:W3CDTF">2022-05-17T16:09:00Z</dcterms:modified>
</cp:coreProperties>
</file>